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14A7" w14:textId="3DB3B7D8" w:rsidR="002D6DB0" w:rsidRDefault="00FE0206" w:rsidP="002D6DB0">
      <w:pPr>
        <w:jc w:val="center"/>
        <w:rPr>
          <w:b/>
          <w:szCs w:val="24"/>
        </w:rPr>
      </w:pPr>
      <w:bookmarkStart w:id="0" w:name="_GoBack"/>
      <w:bookmarkEnd w:id="0"/>
      <w:r>
        <w:rPr>
          <w:b/>
          <w:szCs w:val="24"/>
        </w:rPr>
        <w:t xml:space="preserve">ELECTRONIC </w:t>
      </w:r>
      <w:r w:rsidR="002D6DB0" w:rsidRPr="00E246AF">
        <w:rPr>
          <w:b/>
          <w:szCs w:val="24"/>
        </w:rPr>
        <w:t>SUPPORTING INFORMATION</w:t>
      </w:r>
    </w:p>
    <w:p w14:paraId="32A0AF1D" w14:textId="77777777" w:rsidR="001C33F8" w:rsidRPr="00E246AF" w:rsidRDefault="001C33F8" w:rsidP="002D6DB0">
      <w:pPr>
        <w:jc w:val="center"/>
        <w:rPr>
          <w:b/>
          <w:szCs w:val="24"/>
        </w:rPr>
      </w:pPr>
    </w:p>
    <w:p w14:paraId="063B3859" w14:textId="77777777" w:rsidR="00E92BDD" w:rsidRPr="00881459" w:rsidRDefault="00E92BDD" w:rsidP="00E92BDD">
      <w:pPr>
        <w:spacing w:line="240" w:lineRule="auto"/>
        <w:jc w:val="center"/>
        <w:rPr>
          <w:b/>
          <w:bCs/>
        </w:rPr>
      </w:pPr>
      <w:r>
        <w:rPr>
          <w:b/>
        </w:rPr>
        <w:t xml:space="preserve">Controlling the Relative Fluxes of Protons and Oxygen to Electrocatalytic Buried Interfaces with Tunable </w:t>
      </w:r>
      <w:r w:rsidRPr="00881459">
        <w:rPr>
          <w:b/>
        </w:rPr>
        <w:t xml:space="preserve">Silicon Oxide </w:t>
      </w:r>
      <w:r>
        <w:rPr>
          <w:b/>
        </w:rPr>
        <w:t>O</w:t>
      </w:r>
      <w:r w:rsidRPr="00881459">
        <w:rPr>
          <w:b/>
        </w:rPr>
        <w:t>verlayers</w:t>
      </w:r>
    </w:p>
    <w:p w14:paraId="52D28207" w14:textId="77777777" w:rsidR="00AF497B" w:rsidRPr="00881459" w:rsidRDefault="00AF497B" w:rsidP="001C33F8">
      <w:pPr>
        <w:spacing w:line="240" w:lineRule="auto"/>
        <w:jc w:val="center"/>
        <w:rPr>
          <w:b/>
          <w:bCs/>
        </w:rPr>
      </w:pPr>
    </w:p>
    <w:p w14:paraId="35836444" w14:textId="77777777" w:rsidR="001C33F8" w:rsidRPr="00E668F9" w:rsidRDefault="001C33F8" w:rsidP="001C33F8">
      <w:pPr>
        <w:jc w:val="center"/>
      </w:pPr>
      <w:r w:rsidRPr="00E668F9">
        <w:t>Marissa E.S. Beatty</w:t>
      </w:r>
      <w:r w:rsidRPr="00EC3DC6">
        <w:rPr>
          <w:vertAlign w:val="superscript"/>
        </w:rPr>
        <w:t>1</w:t>
      </w:r>
      <w:r w:rsidRPr="00E668F9">
        <w:t xml:space="preserve">, </w:t>
      </w:r>
      <w:r>
        <w:t>Eleanor I. Gillette</w:t>
      </w:r>
      <w:r w:rsidRPr="00EC3DC6">
        <w:rPr>
          <w:vertAlign w:val="superscript"/>
        </w:rPr>
        <w:t>2</w:t>
      </w:r>
      <w:r w:rsidRPr="00E668F9">
        <w:t xml:space="preserve">, </w:t>
      </w:r>
      <w:r>
        <w:t>Alexis T. Haley</w:t>
      </w:r>
      <w:r w:rsidRPr="00EC3DC6">
        <w:rPr>
          <w:vertAlign w:val="superscript"/>
        </w:rPr>
        <w:t>1</w:t>
      </w:r>
      <w:r>
        <w:t xml:space="preserve">, </w:t>
      </w:r>
      <w:r w:rsidRPr="00E668F9">
        <w:t>Daniel V. Esposito</w:t>
      </w:r>
      <w:r w:rsidRPr="00EC3DC6">
        <w:rPr>
          <w:vertAlign w:val="superscript"/>
        </w:rPr>
        <w:t>1</w:t>
      </w:r>
      <w:r w:rsidRPr="00E668F9">
        <w:t>*</w:t>
      </w:r>
    </w:p>
    <w:p w14:paraId="7EAAD08F" w14:textId="488DA9E2" w:rsidR="00F660E6" w:rsidRPr="00E246AF" w:rsidRDefault="00CC186D" w:rsidP="00CC186D">
      <w:pPr>
        <w:tabs>
          <w:tab w:val="left" w:pos="1020"/>
        </w:tabs>
        <w:spacing w:line="240" w:lineRule="auto"/>
        <w:rPr>
          <w:b/>
          <w:szCs w:val="24"/>
        </w:rPr>
      </w:pPr>
      <w:r>
        <w:rPr>
          <w:b/>
          <w:szCs w:val="24"/>
        </w:rPr>
        <w:tab/>
      </w:r>
    </w:p>
    <w:p w14:paraId="2DF8DD02" w14:textId="77777777" w:rsidR="003165D5" w:rsidRPr="00E246AF" w:rsidRDefault="003165D5" w:rsidP="003165D5">
      <w:pPr>
        <w:spacing w:line="240" w:lineRule="auto"/>
        <w:jc w:val="center"/>
        <w:rPr>
          <w:szCs w:val="24"/>
        </w:rPr>
      </w:pPr>
    </w:p>
    <w:p w14:paraId="600F3F1A" w14:textId="77777777" w:rsidR="001C33F8" w:rsidRPr="00457B03" w:rsidRDefault="001C33F8" w:rsidP="001C33F8">
      <w:pPr>
        <w:spacing w:line="240" w:lineRule="auto"/>
        <w:jc w:val="center"/>
      </w:pPr>
      <w:r w:rsidRPr="00457B03">
        <w:rPr>
          <w:vertAlign w:val="superscript"/>
        </w:rPr>
        <w:t>1</w:t>
      </w:r>
      <w:r>
        <w:rPr>
          <w:vertAlign w:val="superscript"/>
        </w:rPr>
        <w:t xml:space="preserve"> </w:t>
      </w:r>
      <w:r w:rsidRPr="00457B03">
        <w:t>Columbia University in the City of New York</w:t>
      </w:r>
    </w:p>
    <w:p w14:paraId="43F4A1FC" w14:textId="77777777" w:rsidR="001C33F8" w:rsidRPr="00457B03" w:rsidRDefault="001C33F8" w:rsidP="001C33F8">
      <w:pPr>
        <w:spacing w:line="240" w:lineRule="auto"/>
        <w:jc w:val="center"/>
      </w:pPr>
      <w:r w:rsidRPr="00457B03">
        <w:t>Department of Chemical Engineering</w:t>
      </w:r>
    </w:p>
    <w:p w14:paraId="1AF71CB6" w14:textId="77777777" w:rsidR="001C33F8" w:rsidRPr="00457B03" w:rsidRDefault="001C33F8" w:rsidP="001C33F8">
      <w:pPr>
        <w:spacing w:line="240" w:lineRule="auto"/>
        <w:jc w:val="center"/>
      </w:pPr>
      <w:r w:rsidRPr="00457B03">
        <w:t>Columbia Electrochemical Energy Center</w:t>
      </w:r>
    </w:p>
    <w:p w14:paraId="151535A1" w14:textId="77777777" w:rsidR="001C33F8" w:rsidRPr="00457B03" w:rsidRDefault="001C33F8" w:rsidP="001C33F8">
      <w:pPr>
        <w:spacing w:line="240" w:lineRule="auto"/>
        <w:jc w:val="center"/>
      </w:pPr>
      <w:r w:rsidRPr="00457B03">
        <w:t>Lenfest Center for Sustainable Energy</w:t>
      </w:r>
    </w:p>
    <w:p w14:paraId="69B72E36" w14:textId="4FC0CE68" w:rsidR="001C33F8" w:rsidRDefault="001C33F8" w:rsidP="001C33F8">
      <w:pPr>
        <w:spacing w:line="240" w:lineRule="auto"/>
        <w:jc w:val="center"/>
      </w:pPr>
      <w:r w:rsidRPr="00457B03">
        <w:t>500 W. 120</w:t>
      </w:r>
      <w:r w:rsidRPr="00457B03">
        <w:rPr>
          <w:vertAlign w:val="superscript"/>
        </w:rPr>
        <w:t>th</w:t>
      </w:r>
      <w:r w:rsidRPr="00457B03">
        <w:t xml:space="preserve"> St., New York, NY 10027</w:t>
      </w:r>
    </w:p>
    <w:p w14:paraId="32BB415A" w14:textId="181AC5AF" w:rsidR="003164CC" w:rsidRPr="00457B03" w:rsidRDefault="003164CC" w:rsidP="001C33F8">
      <w:pPr>
        <w:spacing w:line="240" w:lineRule="auto"/>
        <w:jc w:val="center"/>
      </w:pPr>
      <w:r>
        <w:t>United States of America</w:t>
      </w:r>
    </w:p>
    <w:p w14:paraId="3374CDD2" w14:textId="3CA5DC0F" w:rsidR="001C33F8" w:rsidRDefault="001C33F8" w:rsidP="001C33F8">
      <w:pPr>
        <w:spacing w:line="240" w:lineRule="auto"/>
        <w:jc w:val="center"/>
        <w:rPr>
          <w:b/>
        </w:rPr>
      </w:pPr>
    </w:p>
    <w:p w14:paraId="41F7FACC" w14:textId="77777777" w:rsidR="001B6F74" w:rsidRDefault="001B6F74" w:rsidP="001C33F8">
      <w:pPr>
        <w:spacing w:line="240" w:lineRule="auto"/>
        <w:jc w:val="center"/>
        <w:rPr>
          <w:b/>
        </w:rPr>
      </w:pPr>
    </w:p>
    <w:p w14:paraId="2308C2F7" w14:textId="77777777" w:rsidR="001C33F8" w:rsidRPr="00457B03" w:rsidRDefault="001C33F8" w:rsidP="001C33F8">
      <w:pPr>
        <w:spacing w:line="240" w:lineRule="auto"/>
        <w:jc w:val="center"/>
      </w:pPr>
      <w:r w:rsidRPr="00457B03">
        <w:rPr>
          <w:vertAlign w:val="superscript"/>
        </w:rPr>
        <w:t>2</w:t>
      </w:r>
      <w:r>
        <w:rPr>
          <w:vertAlign w:val="superscript"/>
        </w:rPr>
        <w:t xml:space="preserve"> </w:t>
      </w:r>
      <w:r w:rsidRPr="00457B03">
        <w:t>University of San Diego</w:t>
      </w:r>
    </w:p>
    <w:p w14:paraId="222C30C2" w14:textId="77777777" w:rsidR="001C33F8" w:rsidRPr="00457B03" w:rsidRDefault="001C33F8" w:rsidP="001C33F8">
      <w:pPr>
        <w:spacing w:line="240" w:lineRule="auto"/>
        <w:jc w:val="center"/>
      </w:pPr>
      <w:r w:rsidRPr="00457B03">
        <w:t>Department of Chemistry and Biochemistry</w:t>
      </w:r>
    </w:p>
    <w:p w14:paraId="145750B4" w14:textId="561E779B" w:rsidR="001C33F8" w:rsidRDefault="001C33F8" w:rsidP="001C33F8">
      <w:pPr>
        <w:spacing w:line="240" w:lineRule="auto"/>
        <w:jc w:val="center"/>
      </w:pPr>
      <w:r w:rsidRPr="00457B03">
        <w:t>5998 Alcala Park, San Diego, CA, 92110-2492</w:t>
      </w:r>
    </w:p>
    <w:p w14:paraId="69DF5584" w14:textId="7C0CF477" w:rsidR="003164CC" w:rsidRPr="00457B03" w:rsidRDefault="003164CC" w:rsidP="001C33F8">
      <w:pPr>
        <w:spacing w:line="240" w:lineRule="auto"/>
        <w:jc w:val="center"/>
      </w:pPr>
      <w:r>
        <w:t>United States of America</w:t>
      </w:r>
    </w:p>
    <w:p w14:paraId="58D9419B" w14:textId="77777777" w:rsidR="00D50C1B" w:rsidRDefault="00D50C1B" w:rsidP="00C74C3A">
      <w:pPr>
        <w:spacing w:line="276" w:lineRule="auto"/>
        <w:ind w:left="-90"/>
        <w:jc w:val="center"/>
        <w:rPr>
          <w:rFonts w:eastAsia="Calibri"/>
          <w:szCs w:val="24"/>
        </w:rPr>
      </w:pPr>
    </w:p>
    <w:p w14:paraId="3979A636" w14:textId="65FA25A8" w:rsidR="00CC186D" w:rsidRDefault="00C74C3A" w:rsidP="0047664B">
      <w:pPr>
        <w:spacing w:line="240" w:lineRule="auto"/>
        <w:jc w:val="center"/>
        <w:rPr>
          <w:rFonts w:eastAsia="Calibri"/>
          <w:szCs w:val="24"/>
        </w:rPr>
      </w:pPr>
      <w:r w:rsidRPr="00E246AF">
        <w:rPr>
          <w:rFonts w:eastAsia="Calibri"/>
          <w:szCs w:val="24"/>
        </w:rPr>
        <w:t>*de2300@columbia.edu</w:t>
      </w:r>
    </w:p>
    <w:p w14:paraId="181C71D6" w14:textId="77777777" w:rsidR="00D50C1B" w:rsidRPr="0047664B" w:rsidRDefault="00D50C1B" w:rsidP="0047664B">
      <w:pPr>
        <w:spacing w:line="240" w:lineRule="auto"/>
        <w:jc w:val="center"/>
        <w:rPr>
          <w:rFonts w:eastAsia="Calibri"/>
          <w:szCs w:val="24"/>
        </w:rPr>
      </w:pPr>
    </w:p>
    <w:p w14:paraId="27845EE8" w14:textId="77777777" w:rsidR="00CC186D" w:rsidRPr="00E246AF" w:rsidRDefault="00CC186D" w:rsidP="00C74C3A">
      <w:pPr>
        <w:spacing w:line="240" w:lineRule="auto"/>
        <w:jc w:val="center"/>
        <w:rPr>
          <w:szCs w:val="24"/>
        </w:rPr>
      </w:pPr>
    </w:p>
    <w:p w14:paraId="3351C70F" w14:textId="180B86B3" w:rsidR="003164CC" w:rsidRDefault="003164CC">
      <w:pPr>
        <w:rPr>
          <w:rFonts w:eastAsia="Calibri"/>
          <w:szCs w:val="24"/>
        </w:rPr>
      </w:pPr>
      <w:r>
        <w:rPr>
          <w:rFonts w:eastAsia="Calibri"/>
          <w:szCs w:val="24"/>
        </w:rPr>
        <w:br w:type="page"/>
      </w:r>
    </w:p>
    <w:p w14:paraId="0D3B321C" w14:textId="77777777" w:rsidR="003165D5" w:rsidRPr="00E246AF" w:rsidRDefault="003165D5" w:rsidP="00805372">
      <w:pPr>
        <w:spacing w:line="276" w:lineRule="auto"/>
        <w:rPr>
          <w:rFonts w:eastAsia="Calibri"/>
          <w:szCs w:val="24"/>
        </w:rPr>
      </w:pPr>
    </w:p>
    <w:p w14:paraId="6B1D48CE" w14:textId="6A4CBE43" w:rsidR="003579A9" w:rsidRPr="00E246AF" w:rsidRDefault="002C5393" w:rsidP="00361926">
      <w:pPr>
        <w:pBdr>
          <w:bottom w:val="single" w:sz="6" w:space="1" w:color="auto"/>
        </w:pBdr>
        <w:spacing w:line="240" w:lineRule="auto"/>
        <w:jc w:val="center"/>
        <w:rPr>
          <w:b/>
          <w:i/>
          <w:szCs w:val="24"/>
        </w:rPr>
      </w:pPr>
      <w:r w:rsidRPr="00E246AF">
        <w:rPr>
          <w:b/>
          <w:i/>
          <w:szCs w:val="24"/>
        </w:rPr>
        <w:t>Table of Contents</w:t>
      </w:r>
    </w:p>
    <w:p w14:paraId="1D2BF63F" w14:textId="4C93CBC3" w:rsidR="003579A9" w:rsidRPr="00C80991" w:rsidRDefault="003522E2" w:rsidP="003522E2">
      <w:pPr>
        <w:pBdr>
          <w:bottom w:val="single" w:sz="6" w:space="1" w:color="auto"/>
        </w:pBdr>
        <w:tabs>
          <w:tab w:val="right" w:pos="9360"/>
        </w:tabs>
        <w:spacing w:line="240" w:lineRule="auto"/>
        <w:rPr>
          <w:b/>
          <w:szCs w:val="24"/>
        </w:rPr>
      </w:pPr>
      <w:r w:rsidRPr="003B1231">
        <w:rPr>
          <w:b/>
          <w:i/>
          <w:szCs w:val="24"/>
        </w:rPr>
        <w:t>Section</w:t>
      </w:r>
      <w:r w:rsidRPr="003B1231">
        <w:rPr>
          <w:b/>
          <w:szCs w:val="24"/>
        </w:rPr>
        <w:tab/>
      </w:r>
      <w:r w:rsidRPr="00C80991">
        <w:rPr>
          <w:b/>
          <w:i/>
          <w:szCs w:val="24"/>
        </w:rPr>
        <w:t>Page</w:t>
      </w:r>
    </w:p>
    <w:p w14:paraId="602A3F5A" w14:textId="37841388" w:rsidR="00467BFE" w:rsidRPr="00C80991" w:rsidRDefault="001C33F8" w:rsidP="009C19A2">
      <w:pPr>
        <w:pStyle w:val="TOC1"/>
        <w:rPr>
          <w:rFonts w:asciiTheme="minorHAnsi" w:hAnsiTheme="minorHAnsi" w:cstheme="minorBidi"/>
          <w:sz w:val="22"/>
        </w:rPr>
      </w:pPr>
      <w:r>
        <w:t>Physical Characterization of SiO</w:t>
      </w:r>
      <w:r w:rsidRPr="001C33F8">
        <w:rPr>
          <w:vertAlign w:val="subscript"/>
        </w:rPr>
        <w:t>x</w:t>
      </w:r>
      <w:r>
        <w:t>C</w:t>
      </w:r>
      <w:r w:rsidRPr="001C33F8">
        <w:rPr>
          <w:vertAlign w:val="subscript"/>
        </w:rPr>
        <w:t>y</w:t>
      </w:r>
      <w:r>
        <w:t>|Pt electrodes</w:t>
      </w:r>
      <w:r w:rsidR="00467BFE" w:rsidRPr="00C80991">
        <w:rPr>
          <w:webHidden/>
        </w:rPr>
        <w:tab/>
      </w:r>
      <w:r w:rsidR="00447F80" w:rsidRPr="00C80991">
        <w:rPr>
          <w:webHidden/>
        </w:rPr>
        <w:t>S</w:t>
      </w:r>
      <w:r w:rsidR="00467BFE" w:rsidRPr="00C80991">
        <w:rPr>
          <w:webHidden/>
        </w:rPr>
        <w:t>2</w:t>
      </w:r>
    </w:p>
    <w:p w14:paraId="6BB0B723" w14:textId="67B059B0" w:rsidR="0054671A" w:rsidRPr="002F6910" w:rsidRDefault="001C33F8" w:rsidP="009C19A2">
      <w:pPr>
        <w:pStyle w:val="TOC1"/>
        <w:rPr>
          <w:rFonts w:asciiTheme="minorHAnsi" w:hAnsiTheme="minorHAnsi" w:cstheme="minorBidi"/>
          <w:sz w:val="22"/>
        </w:rPr>
      </w:pPr>
      <w:r w:rsidRPr="00E246AF">
        <w:t>X-ray photoelectron spectroscopy (XPS)</w:t>
      </w:r>
      <w:r w:rsidRPr="00D5368C">
        <w:rPr>
          <w:szCs w:val="24"/>
        </w:rPr>
        <w:t xml:space="preserve"> </w:t>
      </w:r>
      <w:r>
        <w:rPr>
          <w:szCs w:val="24"/>
        </w:rPr>
        <w:t>characterization</w:t>
      </w:r>
      <w:r w:rsidR="009C19A2">
        <w:rPr>
          <w:szCs w:val="24"/>
        </w:rPr>
        <w:t>…………………………..S4</w:t>
      </w:r>
    </w:p>
    <w:p w14:paraId="708B1DF7" w14:textId="352F8792" w:rsidR="0054671A" w:rsidRPr="0054671A" w:rsidRDefault="00463997" w:rsidP="009C19A2">
      <w:pPr>
        <w:pStyle w:val="TOC1"/>
      </w:pPr>
      <w:r>
        <w:t>Description of Overlayer Density Calculations</w:t>
      </w:r>
      <w:r w:rsidR="001C33F8">
        <w:t xml:space="preserve"> </w:t>
      </w:r>
      <w:r w:rsidR="00467BFE" w:rsidRPr="00C80991">
        <w:rPr>
          <w:webHidden/>
        </w:rPr>
        <w:tab/>
      </w:r>
      <w:r w:rsidR="00447F80" w:rsidRPr="00C80991">
        <w:rPr>
          <w:webHidden/>
        </w:rPr>
        <w:t>S</w:t>
      </w:r>
      <w:r w:rsidR="009C19A2">
        <w:rPr>
          <w:webHidden/>
        </w:rPr>
        <w:t>8</w:t>
      </w:r>
    </w:p>
    <w:p w14:paraId="7D548C52" w14:textId="5BBF7DE7" w:rsidR="002F6910" w:rsidRDefault="002F6910" w:rsidP="009C19A2">
      <w:pPr>
        <w:pStyle w:val="TOC1"/>
      </w:pPr>
      <w:r>
        <w:t>Description of Permeability Calculations</w:t>
      </w:r>
      <w:r w:rsidRPr="00C80991">
        <w:rPr>
          <w:webHidden/>
        </w:rPr>
        <w:tab/>
        <w:t>S</w:t>
      </w:r>
      <w:r w:rsidR="009C19A2">
        <w:rPr>
          <w:webHidden/>
        </w:rPr>
        <w:t>10</w:t>
      </w:r>
    </w:p>
    <w:p w14:paraId="6B9583CE" w14:textId="40FCD0EC" w:rsidR="00DE5287" w:rsidRPr="00C80991" w:rsidRDefault="00382267" w:rsidP="009C19A2">
      <w:pPr>
        <w:pStyle w:val="TOC1"/>
      </w:pPr>
      <w:r>
        <w:t>Supporting Electrochemical Measurements</w:t>
      </w:r>
      <w:r w:rsidR="00467BFE" w:rsidRPr="00C80991">
        <w:rPr>
          <w:webHidden/>
        </w:rPr>
        <w:tab/>
      </w:r>
      <w:r w:rsidR="00447F80" w:rsidRPr="00C80991">
        <w:rPr>
          <w:webHidden/>
        </w:rPr>
        <w:t>S</w:t>
      </w:r>
      <w:r w:rsidR="009C19A2">
        <w:rPr>
          <w:webHidden/>
        </w:rPr>
        <w:t>1</w:t>
      </w:r>
      <w:r w:rsidR="006B0EC3">
        <w:rPr>
          <w:webHidden/>
        </w:rPr>
        <w:t>5</w:t>
      </w:r>
    </w:p>
    <w:p w14:paraId="47D37DBC" w14:textId="25F95E53" w:rsidR="003B1231" w:rsidRPr="00C80991" w:rsidRDefault="009C19A2" w:rsidP="003B1231">
      <w:pPr>
        <w:pStyle w:val="NoSpacing"/>
      </w:pPr>
      <w:r>
        <w:rPr>
          <w:b/>
        </w:rPr>
        <w:t xml:space="preserve">  </w:t>
      </w:r>
      <w:r w:rsidR="008F18C6">
        <w:rPr>
          <w:b/>
        </w:rPr>
        <w:t>S</w:t>
      </w:r>
      <w:r w:rsidR="003B1231" w:rsidRPr="00C80991">
        <w:rPr>
          <w:b/>
        </w:rPr>
        <w:t>VI.</w:t>
      </w:r>
      <w:r>
        <w:rPr>
          <w:b/>
        </w:rPr>
        <w:t xml:space="preserve"> </w:t>
      </w:r>
      <w:r w:rsidR="003B1231" w:rsidRPr="00C80991">
        <w:tab/>
      </w:r>
      <w:r w:rsidR="00DC580B">
        <w:rPr>
          <w:b/>
        </w:rPr>
        <w:t>ESI</w:t>
      </w:r>
      <w:r w:rsidR="00931CDA">
        <w:rPr>
          <w:b/>
        </w:rPr>
        <w:t xml:space="preserve"> </w:t>
      </w:r>
      <w:r w:rsidR="003B1231" w:rsidRPr="002F6910">
        <w:rPr>
          <w:b/>
        </w:rPr>
        <w:t>References</w:t>
      </w:r>
      <w:r w:rsidR="002F6910" w:rsidRPr="00931CDA">
        <w:rPr>
          <w:b/>
          <w:sz w:val="20"/>
          <w:szCs w:val="20"/>
        </w:rPr>
        <w:t>…………...</w:t>
      </w:r>
      <w:r w:rsidR="003B1231" w:rsidRPr="00931CDA">
        <w:rPr>
          <w:b/>
          <w:sz w:val="20"/>
          <w:szCs w:val="20"/>
        </w:rPr>
        <w:t>…………………………</w:t>
      </w:r>
      <w:r w:rsidR="00DE5287" w:rsidRPr="00931CDA">
        <w:rPr>
          <w:b/>
          <w:sz w:val="20"/>
          <w:szCs w:val="20"/>
        </w:rPr>
        <w:t>.</w:t>
      </w:r>
      <w:r w:rsidR="00931CDA" w:rsidRPr="00931CDA">
        <w:rPr>
          <w:b/>
          <w:sz w:val="20"/>
          <w:szCs w:val="20"/>
        </w:rPr>
        <w:t>……...</w:t>
      </w:r>
      <w:r w:rsidRPr="00931CDA">
        <w:rPr>
          <w:b/>
          <w:sz w:val="20"/>
          <w:szCs w:val="20"/>
        </w:rPr>
        <w:t>…………</w:t>
      </w:r>
      <w:r w:rsidR="00931CDA">
        <w:rPr>
          <w:b/>
          <w:sz w:val="20"/>
          <w:szCs w:val="20"/>
        </w:rPr>
        <w:t>……………...</w:t>
      </w:r>
      <w:r w:rsidRPr="00931CDA">
        <w:rPr>
          <w:b/>
          <w:sz w:val="20"/>
          <w:szCs w:val="20"/>
        </w:rPr>
        <w:t>………...</w:t>
      </w:r>
      <w:r w:rsidR="003B1231" w:rsidRPr="00931CDA">
        <w:rPr>
          <w:b/>
          <w:sz w:val="20"/>
          <w:szCs w:val="20"/>
        </w:rPr>
        <w:t>……</w:t>
      </w:r>
      <w:r w:rsidR="00DC580B" w:rsidRPr="00931CDA">
        <w:rPr>
          <w:b/>
          <w:sz w:val="20"/>
          <w:szCs w:val="20"/>
        </w:rPr>
        <w:t>.</w:t>
      </w:r>
      <w:r w:rsidR="003B1231" w:rsidRPr="00C80991">
        <w:rPr>
          <w:b/>
        </w:rPr>
        <w:t>S</w:t>
      </w:r>
      <w:r>
        <w:rPr>
          <w:b/>
        </w:rPr>
        <w:t>17</w:t>
      </w:r>
    </w:p>
    <w:p w14:paraId="3885AF92" w14:textId="0205E738" w:rsidR="00C92584" w:rsidRDefault="00C92584" w:rsidP="00CE125B">
      <w:pPr>
        <w:rPr>
          <w:noProof/>
          <w:szCs w:val="24"/>
        </w:rPr>
      </w:pPr>
      <w:bookmarkStart w:id="1" w:name="_Toc442969593"/>
      <w:r>
        <w:rPr>
          <w:noProof/>
          <w:szCs w:val="24"/>
        </w:rPr>
        <w:br w:type="page"/>
      </w:r>
    </w:p>
    <w:p w14:paraId="353743C6" w14:textId="49EF1715" w:rsidR="001C33F8" w:rsidRDefault="008C6193" w:rsidP="009C19A2">
      <w:pPr>
        <w:pStyle w:val="Heading1"/>
      </w:pPr>
      <w:bookmarkStart w:id="2" w:name="_Toc516584571"/>
      <w:bookmarkStart w:id="3" w:name="OLE_LINK6"/>
      <w:bookmarkStart w:id="4" w:name="OLE_LINK7"/>
      <w:r>
        <w:lastRenderedPageBreak/>
        <w:t>Physical Characterization of SiO</w:t>
      </w:r>
      <w:r w:rsidRPr="001C33F8">
        <w:rPr>
          <w:vertAlign w:val="subscript"/>
        </w:rPr>
        <w:t>x</w:t>
      </w:r>
      <w:r>
        <w:t>C</w:t>
      </w:r>
      <w:r w:rsidRPr="001C33F8">
        <w:rPr>
          <w:vertAlign w:val="subscript"/>
        </w:rPr>
        <w:t>y</w:t>
      </w:r>
      <w:r>
        <w:t>|Pt electrodes</w:t>
      </w:r>
    </w:p>
    <w:p w14:paraId="710220D0" w14:textId="63048E78" w:rsidR="00A51C06" w:rsidRDefault="0054671A" w:rsidP="0054671A">
      <w:pPr>
        <w:pStyle w:val="Heading2"/>
      </w:pPr>
      <w:r>
        <w:t>1</w:t>
      </w:r>
      <w:r w:rsidR="001C33F8" w:rsidRPr="007C11FF">
        <w:t>.</w:t>
      </w:r>
      <w:r w:rsidR="001C33F8">
        <w:t xml:space="preserve">1 </w:t>
      </w:r>
      <w:r w:rsidR="00F57971">
        <w:t>Atomic force microscopy</w:t>
      </w:r>
      <w:r w:rsidR="00E60A22" w:rsidRPr="00E246AF">
        <w:t xml:space="preserve"> (</w:t>
      </w:r>
      <w:r w:rsidR="00F57971">
        <w:t>AFM</w:t>
      </w:r>
      <w:r w:rsidR="00E60A22" w:rsidRPr="00E246AF">
        <w:t>)</w:t>
      </w:r>
      <w:r w:rsidR="00D5368C">
        <w:t xml:space="preserve"> </w:t>
      </w:r>
      <w:r w:rsidR="00AF497B">
        <w:t xml:space="preserve">and Scanning Electron Microscopy (SEM) </w:t>
      </w:r>
      <w:r w:rsidR="00D5368C">
        <w:t>c</w:t>
      </w:r>
      <w:r w:rsidR="00D34B80">
        <w:t>haracterization of SiO</w:t>
      </w:r>
      <w:r w:rsidR="00D34B80" w:rsidRPr="00D34B80">
        <w:rPr>
          <w:vertAlign w:val="subscript"/>
        </w:rPr>
        <w:t>x</w:t>
      </w:r>
      <w:bookmarkEnd w:id="2"/>
      <w:r w:rsidR="001C33F8" w:rsidRPr="001C33F8">
        <w:t>C</w:t>
      </w:r>
      <w:r w:rsidR="001C33F8">
        <w:rPr>
          <w:vertAlign w:val="subscript"/>
        </w:rPr>
        <w:t>y</w:t>
      </w:r>
      <w:r w:rsidR="00F5455D">
        <w:t>|Pt electrodes</w:t>
      </w:r>
    </w:p>
    <w:p w14:paraId="69395FB9" w14:textId="6ABA4633" w:rsidR="001C33F8" w:rsidRDefault="008133E9" w:rsidP="00031FF8">
      <w:pPr>
        <w:jc w:val="center"/>
      </w:pPr>
      <w:r>
        <w:rPr>
          <w:noProof/>
        </w:rPr>
        <w:drawing>
          <wp:inline distT="0" distB="0" distL="0" distR="0" wp14:anchorId="5EB7F23C" wp14:editId="07240A1E">
            <wp:extent cx="5943600" cy="2105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05025"/>
                    </a:xfrm>
                    <a:prstGeom prst="rect">
                      <a:avLst/>
                    </a:prstGeom>
                  </pic:spPr>
                </pic:pic>
              </a:graphicData>
            </a:graphic>
          </wp:inline>
        </w:drawing>
      </w:r>
    </w:p>
    <w:p w14:paraId="7A124981" w14:textId="07717D1B" w:rsidR="00AF497B" w:rsidRDefault="001C33F8" w:rsidP="0054671A">
      <w:pPr>
        <w:spacing w:line="240" w:lineRule="auto"/>
        <w:jc w:val="both"/>
        <w:rPr>
          <w:szCs w:val="24"/>
        </w:rPr>
      </w:pPr>
      <w:r w:rsidRPr="001C33F8">
        <w:rPr>
          <w:b/>
          <w:szCs w:val="24"/>
        </w:rPr>
        <w:t>Figure S1</w:t>
      </w:r>
      <w:r w:rsidRPr="001C33F8">
        <w:rPr>
          <w:szCs w:val="24"/>
        </w:rPr>
        <w:t xml:space="preserve">. Representative AFM images of </w:t>
      </w:r>
      <w:r w:rsidR="00031FF8">
        <w:rPr>
          <w:szCs w:val="24"/>
        </w:rPr>
        <w:t xml:space="preserve">a.) an unencapsulated, bare Pt sample compared to encapsulated SiOxCy|Pt samples of 5 nm target thickness cured for b.) 30 minutes and c.) 120 minutes. </w:t>
      </w:r>
      <w:bookmarkStart w:id="5" w:name="_Toc502933477"/>
      <w:bookmarkStart w:id="6" w:name="_Toc516584572"/>
      <w:bookmarkStart w:id="7" w:name="OLE_LINK1"/>
      <w:bookmarkStart w:id="8" w:name="OLE_LINK2"/>
      <w:bookmarkEnd w:id="3"/>
      <w:bookmarkEnd w:id="4"/>
      <w:r w:rsidR="00754ABB">
        <w:rPr>
          <w:szCs w:val="24"/>
        </w:rPr>
        <w:t xml:space="preserve">Inset values represent the </w:t>
      </w:r>
      <w:r w:rsidR="00E91C33">
        <w:rPr>
          <w:szCs w:val="24"/>
        </w:rPr>
        <w:t xml:space="preserve">root </w:t>
      </w:r>
      <w:r w:rsidR="00754ABB">
        <w:rPr>
          <w:szCs w:val="24"/>
        </w:rPr>
        <w:t>mean squared roughness (r</w:t>
      </w:r>
      <w:r w:rsidR="00754ABB" w:rsidRPr="00754ABB">
        <w:rPr>
          <w:szCs w:val="24"/>
          <w:vertAlign w:val="subscript"/>
        </w:rPr>
        <w:t>RMS</w:t>
      </w:r>
      <w:r w:rsidR="00754ABB">
        <w:rPr>
          <w:szCs w:val="24"/>
        </w:rPr>
        <w:t>) for each individual sample.</w:t>
      </w:r>
    </w:p>
    <w:p w14:paraId="6FFB0F97" w14:textId="31641479" w:rsidR="00AF497B" w:rsidRDefault="00AF497B" w:rsidP="0054671A">
      <w:pPr>
        <w:spacing w:line="240" w:lineRule="auto"/>
        <w:jc w:val="both"/>
        <w:rPr>
          <w:b/>
          <w:bCs/>
          <w:szCs w:val="24"/>
        </w:rPr>
      </w:pPr>
      <w:r>
        <w:rPr>
          <w:b/>
          <w:bCs/>
          <w:szCs w:val="24"/>
        </w:rPr>
        <w:t xml:space="preserve"> </w:t>
      </w:r>
    </w:p>
    <w:p w14:paraId="55CA72AC" w14:textId="37076003" w:rsidR="00BA7525" w:rsidRPr="00BA7525" w:rsidRDefault="00BA7525" w:rsidP="00BA7525">
      <w:pPr>
        <w:spacing w:line="240" w:lineRule="auto"/>
        <w:jc w:val="both"/>
        <w:rPr>
          <w:b/>
          <w:bCs/>
          <w:szCs w:val="24"/>
        </w:rPr>
      </w:pPr>
      <w:r>
        <w:rPr>
          <w:noProof/>
        </w:rPr>
        <w:drawing>
          <wp:inline distT="0" distB="0" distL="0" distR="0" wp14:anchorId="3925DD39" wp14:editId="0AAD2F69">
            <wp:extent cx="5943600" cy="2181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181225"/>
                    </a:xfrm>
                    <a:prstGeom prst="rect">
                      <a:avLst/>
                    </a:prstGeom>
                  </pic:spPr>
                </pic:pic>
              </a:graphicData>
            </a:graphic>
          </wp:inline>
        </w:drawing>
      </w:r>
    </w:p>
    <w:p w14:paraId="6DE4BF89" w14:textId="050FAF06" w:rsidR="0054671A" w:rsidRPr="0054671A" w:rsidRDefault="006B7FE9" w:rsidP="00BA7525">
      <w:pPr>
        <w:spacing w:line="240" w:lineRule="auto"/>
        <w:jc w:val="both"/>
        <w:rPr>
          <w:szCs w:val="24"/>
        </w:rPr>
      </w:pPr>
      <w:r w:rsidRPr="00EF422A">
        <w:rPr>
          <w:b/>
          <w:bCs/>
          <w:szCs w:val="24"/>
        </w:rPr>
        <w:t xml:space="preserve">Figure S2. </w:t>
      </w:r>
      <w:r w:rsidRPr="00EF422A">
        <w:t xml:space="preserve">SEM images </w:t>
      </w:r>
      <w:r w:rsidRPr="00673919">
        <w:t>of Pt|SiO</w:t>
      </w:r>
      <w:r w:rsidRPr="00673919">
        <w:rPr>
          <w:vertAlign w:val="subscript"/>
        </w:rPr>
        <w:t>x</w:t>
      </w:r>
      <w:r w:rsidRPr="00673919">
        <w:t>C</w:t>
      </w:r>
      <w:r w:rsidRPr="00673919">
        <w:rPr>
          <w:vertAlign w:val="subscript"/>
        </w:rPr>
        <w:t>y</w:t>
      </w:r>
      <w:r w:rsidRPr="00673919">
        <w:t xml:space="preserve"> samples that underwent a.) 30 minutes of and b.) 120 minutes of UV-ozone treatment. No defects or discernable differences in the surface morphology of these samples are seen in these images, further supporting that the electrodes are encapsulated by continuous SiO</w:t>
      </w:r>
      <w:r w:rsidRPr="00673919">
        <w:rPr>
          <w:vertAlign w:val="subscript"/>
        </w:rPr>
        <w:t>x</w:t>
      </w:r>
      <w:r w:rsidRPr="00673919">
        <w:t>C</w:t>
      </w:r>
      <w:r w:rsidRPr="00673919">
        <w:rPr>
          <w:vertAlign w:val="subscript"/>
        </w:rPr>
        <w:t>y</w:t>
      </w:r>
      <w:r w:rsidRPr="00673919">
        <w:t xml:space="preserve"> overlayers. Images were acquired at 10,000X magnification using a beam voltage of 2.0 kV.</w:t>
      </w:r>
    </w:p>
    <w:p w14:paraId="10207DAC" w14:textId="52F1F79A" w:rsidR="0054671A" w:rsidRDefault="0054671A">
      <w:pPr>
        <w:pStyle w:val="Heading2"/>
      </w:pPr>
      <w:r>
        <w:lastRenderedPageBreak/>
        <w:t>1.2 Contact Angle Measurements</w:t>
      </w:r>
    </w:p>
    <w:p w14:paraId="5B06AD27" w14:textId="339D2F0E" w:rsidR="0054671A" w:rsidRDefault="00F172C7" w:rsidP="0054671A">
      <w:pPr>
        <w:jc w:val="center"/>
      </w:pPr>
      <w:r>
        <w:rPr>
          <w:noProof/>
        </w:rPr>
        <w:drawing>
          <wp:inline distT="0" distB="0" distL="0" distR="0" wp14:anchorId="3022FA16" wp14:editId="48E0FB34">
            <wp:extent cx="3981450" cy="2409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81450" cy="2409825"/>
                    </a:xfrm>
                    <a:prstGeom prst="rect">
                      <a:avLst/>
                    </a:prstGeom>
                  </pic:spPr>
                </pic:pic>
              </a:graphicData>
            </a:graphic>
          </wp:inline>
        </w:drawing>
      </w:r>
    </w:p>
    <w:p w14:paraId="2A2D88D6" w14:textId="691BCDEF" w:rsidR="0054671A" w:rsidRPr="0054671A" w:rsidRDefault="0054671A" w:rsidP="0054671A">
      <w:pPr>
        <w:spacing w:line="276" w:lineRule="auto"/>
      </w:pPr>
      <w:r w:rsidRPr="007C11FF">
        <w:rPr>
          <w:b/>
          <w:bCs/>
          <w:szCs w:val="24"/>
        </w:rPr>
        <w:t>Figure S</w:t>
      </w:r>
      <w:r w:rsidR="002B152B">
        <w:rPr>
          <w:b/>
          <w:bCs/>
          <w:szCs w:val="24"/>
        </w:rPr>
        <w:t>3</w:t>
      </w:r>
      <w:r w:rsidRPr="007C11FF">
        <w:rPr>
          <w:b/>
          <w:bCs/>
          <w:szCs w:val="24"/>
        </w:rPr>
        <w:t>.</w:t>
      </w:r>
      <w:r w:rsidRPr="007C11FF">
        <w:rPr>
          <w:szCs w:val="24"/>
        </w:rPr>
        <w:t xml:space="preserve"> Contact angles with 10 µL of DI water. Inset figure depicts the measured angle relative to droplet and electrode surface.</w:t>
      </w:r>
    </w:p>
    <w:p w14:paraId="27B4A005" w14:textId="77777777" w:rsidR="0054671A" w:rsidRPr="0054671A" w:rsidRDefault="0054671A" w:rsidP="0054671A"/>
    <w:p w14:paraId="062452A4" w14:textId="720EA73B" w:rsidR="0054671A" w:rsidRDefault="0054671A">
      <w:pPr>
        <w:pStyle w:val="Heading2"/>
      </w:pPr>
      <w:r>
        <w:t xml:space="preserve">1.3 Ellipsometry </w:t>
      </w:r>
      <w:r w:rsidR="00E91C33">
        <w:t>Measurements</w:t>
      </w:r>
    </w:p>
    <w:p w14:paraId="723F0932" w14:textId="651E662F" w:rsidR="00F172C7" w:rsidRDefault="00F172C7" w:rsidP="0054671A">
      <w:pPr>
        <w:jc w:val="center"/>
      </w:pPr>
      <w:r>
        <w:rPr>
          <w:noProof/>
        </w:rPr>
        <w:drawing>
          <wp:inline distT="0" distB="0" distL="0" distR="0" wp14:anchorId="5A42FA1B" wp14:editId="5681C043">
            <wp:extent cx="5438775" cy="3019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38775" cy="3019425"/>
                    </a:xfrm>
                    <a:prstGeom prst="rect">
                      <a:avLst/>
                    </a:prstGeom>
                  </pic:spPr>
                </pic:pic>
              </a:graphicData>
            </a:graphic>
          </wp:inline>
        </w:drawing>
      </w:r>
    </w:p>
    <w:p w14:paraId="1904DFE4" w14:textId="14D5124F" w:rsidR="0054671A" w:rsidRDefault="0054671A" w:rsidP="006B0EC3">
      <w:pPr>
        <w:spacing w:line="240" w:lineRule="auto"/>
        <w:jc w:val="both"/>
      </w:pPr>
      <w:r w:rsidRPr="007C11FF">
        <w:rPr>
          <w:b/>
        </w:rPr>
        <w:t>Figure S</w:t>
      </w:r>
      <w:r w:rsidR="002B152B">
        <w:rPr>
          <w:b/>
        </w:rPr>
        <w:t>4</w:t>
      </w:r>
      <w:r>
        <w:t xml:space="preserve">. </w:t>
      </w:r>
      <w:r w:rsidRPr="004E6BE5">
        <w:t>Ellipsometry determined thicknesses for SiO</w:t>
      </w:r>
      <w:r w:rsidRPr="004E6BE5">
        <w:rPr>
          <w:vertAlign w:val="subscript"/>
        </w:rPr>
        <w:t>x</w:t>
      </w:r>
      <w:r w:rsidRPr="004E6BE5">
        <w:t>C</w:t>
      </w:r>
      <w:r w:rsidRPr="004E6BE5">
        <w:rPr>
          <w:vertAlign w:val="subscript"/>
        </w:rPr>
        <w:t>y</w:t>
      </w:r>
      <w:r w:rsidRPr="004E6BE5">
        <w:t xml:space="preserve"> overlayers for samples of varying cure time using </w:t>
      </w:r>
      <w:r w:rsidRPr="00673919">
        <w:t xml:space="preserve">models with optical constants derived for pure PDMS </w:t>
      </w:r>
      <w:r w:rsidR="00EA60FA" w:rsidRPr="00673919">
        <w:t>(</w:t>
      </w:r>
      <w:r w:rsidR="004E6BE5" w:rsidRPr="00673919">
        <w:t>n=1.39)</w:t>
      </w:r>
      <w:r w:rsidR="008B109F" w:rsidRPr="00673919">
        <w:fldChar w:fldCharType="begin" w:fldLock="1"/>
      </w:r>
      <w:r w:rsidR="008B109F" w:rsidRPr="00673919">
        <w:instrText>ADDIN CSL_CITATION {"citationItems":[{"id":"ITEM-1","itemData":{"DOI":"10.1116/1.5046735","ISSN":"1055-5269","author":[{"dropping-particle":"","family":"Roychowdhury","given":"Tuhin","non-dropping-particle":"","parse-names":false,"suffix":""},{"dropping-particle":"V.","family":"Cushman","given":"Cody","non-dropping-particle":"","parse-names":false,"suffix":""},{"dropping-particle":"","family":"Synowicki","given":"R. A.","non-dropping-particle":"","parse-names":false,"suffix":""},{"dropping-particle":"","family":"Linford","given":"Matthew R.","non-dropping-particle":"","parse-names":false,"suffix":""}],"container-title":"Surface Science Spectra","id":"ITEM-1","issue":"2","issued":{"date-parts":[["2018"]]},"page":"026001","title":"Polydimethylsiloxane: Optical properties from 191 to 1688 nm (0.735–6.491 eV) of the liquid material by spectroscopic ellipsometry","type":"article-journal","volume":"25"},"uris":["http://www.mendeley.com/documents/?uuid=00814b99-17aa-4e97-a1f8-8c7b38201b2e"]}],"mendeley":{"formattedCitation":"&lt;sup&gt;[1]&lt;/sup&gt;","plainTextFormattedCitation":"[1]","previouslyFormattedCitation":"&lt;sup&gt;[1]&lt;/sup&gt;"},"properties":{"noteIndex":0},"schema":"https://github.com/citation-style-language/schema/raw/master/csl-citation.json"}</w:instrText>
      </w:r>
      <w:r w:rsidR="008B109F" w:rsidRPr="00673919">
        <w:fldChar w:fldCharType="separate"/>
      </w:r>
      <w:r w:rsidR="008B109F" w:rsidRPr="00673919">
        <w:rPr>
          <w:noProof/>
          <w:vertAlign w:val="superscript"/>
        </w:rPr>
        <w:t>[1]</w:t>
      </w:r>
      <w:r w:rsidR="008B109F" w:rsidRPr="00673919">
        <w:fldChar w:fldCharType="end"/>
      </w:r>
      <w:r w:rsidR="00EA60FA" w:rsidRPr="00673919">
        <w:t xml:space="preserve"> </w:t>
      </w:r>
      <w:r w:rsidRPr="00673919">
        <w:t>and pure SiO</w:t>
      </w:r>
      <w:r w:rsidRPr="00673919">
        <w:rPr>
          <w:vertAlign w:val="subscript"/>
        </w:rPr>
        <w:t>2</w:t>
      </w:r>
      <w:r w:rsidR="00EA60FA" w:rsidRPr="00673919">
        <w:rPr>
          <w:vertAlign w:val="subscript"/>
        </w:rPr>
        <w:t xml:space="preserve"> </w:t>
      </w:r>
      <w:r w:rsidR="00EA60FA" w:rsidRPr="00673919">
        <w:t>(</w:t>
      </w:r>
      <w:r w:rsidR="004E6BE5" w:rsidRPr="00673919">
        <w:t>n=1.44</w:t>
      </w:r>
      <w:r w:rsidR="00EA60FA" w:rsidRPr="00673919">
        <w:t>)</w:t>
      </w:r>
      <w:r w:rsidR="008B109F" w:rsidRPr="00673919">
        <w:fldChar w:fldCharType="begin" w:fldLock="1"/>
      </w:r>
      <w:r w:rsidR="008B109F" w:rsidRPr="00673919">
        <w:instrText>ADDIN CSL_CITATION {"citationItems":[{"id":"ITEM-1","itemData":{"DOI":"10.1364/AO.51.006789","ISSN":"15394522","PMID":"23033094","abstract":"The complex refractive index components, n and k, have been studied for thin films of several common dielectric materials with a low to medium refractive index as functions of wavelength and stoichiometry for mid-infrared (MIR) wavelengths within the range 1.54-14.29 μm (700-6500 cm-1). The materials silicon oxide, silicon nitride, aluminum oxide, aluminum nitride, and titanium oxide are prepared using room temperature reactive sputter deposition and are characterized using MIR variable angle spectroscopic ellipsometry. The investigation shows how sensitive the refractive index functions are to the O2 and N2 flow rates, and for which growth conditions the materials deposit homogeneously. It also allows conclusions to be drawn on the degree of amorphousness and roughness. To facilitate comparison of the materials deposited in this work with others, the index of refraction was also determined and provided for the near-IR and visible ranges of the spectrum. The results presented here should serve as a useful information base for designing optical coatings for the MIR part of the electromagnetic spectrum. The results are parameterized to allow them to be easily used for coating design. © 2012 Optical Society of America.","author":[{"dropping-particle":"","family":"Kischkat","given":"Jan","non-dropping-particle":"","parse-names":false,"suffix":""},{"dropping-particle":"","family":"Peters","given":"Sven","non-dropping-particle":"","parse-names":false,"suffix":""},{"dropping-particle":"","family":"Gruska","given":"Bernd","non-dropping-particle":"","parse-names":false,"suffix":""},{"dropping-particle":"","family":"Semtsiv","given":"Mykhaylo","non-dropping-particle":"","parse-names":false,"suffix":""},{"dropping-particle":"","family":"Chashnikova","given":"Mikaela","non-dropping-particle":"","parse-names":false,"suffix":""},{"dropping-particle":"","family":"Klinkmüller","given":"Matthias","non-dropping-particle":"","parse-names":false,"suffix":""},{"dropping-particle":"","family":"Fedosenko","given":"Oliana","non-dropping-particle":"","parse-names":false,"suffix":""},{"dropping-particle":"","family":"MacHulik","given":"Stephan","non-dropping-particle":"","parse-names":false,"suffix":""},{"dropping-particle":"","family":"Aleksandrova","given":"Anna","non-dropping-particle":"","parse-names":false,"suffix":""},{"dropping-particle":"","family":"Monastyrskyi","given":"Gregorii","non-dropping-particle":"","parse-names":false,"suffix":""},{"dropping-particle":"","family":"Flores","given":"Yuri","non-dropping-particle":"","parse-names":false,"suffix":""},{"dropping-particle":"","family":"Masselink","given":"W. Ted","non-dropping-particle":"","parse-names":false,"suffix":""}],"container-title":"Applied Optics","id":"ITEM-1","issue":"28","issued":{"date-parts":[["2012"]]},"page":"6789-6798","title":"Mid-infrared optical properties of thin films of aluminum oxide, titanium dioxide, silicon dioxide, aluminum nitride, and silicon nitride","type":"article-journal","volume":"51"},"uris":["http://www.mendeley.com/documents/?uuid=c2995eea-4814-429a-b68b-31a29c3e5f27"]}],"mendeley":{"formattedCitation":"&lt;sup&gt;[2]&lt;/sup&gt;","plainTextFormattedCitation":"[2]","previouslyFormattedCitation":"&lt;sup&gt;[2]&lt;/sup&gt;"},"properties":{"noteIndex":0},"schema":"https://github.com/citation-style-language/schema/raw/master/csl-citation.json"}</w:instrText>
      </w:r>
      <w:r w:rsidR="008B109F" w:rsidRPr="00673919">
        <w:fldChar w:fldCharType="separate"/>
      </w:r>
      <w:r w:rsidR="008B109F" w:rsidRPr="00673919">
        <w:rPr>
          <w:noProof/>
          <w:vertAlign w:val="superscript"/>
        </w:rPr>
        <w:t>[2]</w:t>
      </w:r>
      <w:r w:rsidR="008B109F" w:rsidRPr="00673919">
        <w:fldChar w:fldCharType="end"/>
      </w:r>
      <w:r w:rsidR="00EA60FA" w:rsidRPr="00673919">
        <w:t>.</w:t>
      </w:r>
      <w:r w:rsidRPr="00673919">
        <w:t xml:space="preserve"> </w:t>
      </w:r>
      <w:r w:rsidR="003B6734" w:rsidRPr="00673919">
        <w:t>These results show that the SiO</w:t>
      </w:r>
      <w:r w:rsidR="003B6734" w:rsidRPr="00673919">
        <w:rPr>
          <w:vertAlign w:val="subscript"/>
        </w:rPr>
        <w:t>x</w:t>
      </w:r>
      <w:r w:rsidR="003B6734" w:rsidRPr="00673919">
        <w:t>C</w:t>
      </w:r>
      <w:r w:rsidR="003B6734" w:rsidRPr="00673919">
        <w:rPr>
          <w:vertAlign w:val="subscript"/>
        </w:rPr>
        <w:t>y</w:t>
      </w:r>
      <w:r w:rsidR="003B6734" w:rsidRPr="00673919">
        <w:t xml:space="preserve"> thicknesses measured by ellipsometry are relatively insensitive to whether optical constants for the starting material (PDMS) or final material (SiO</w:t>
      </w:r>
      <w:r w:rsidR="003B6734" w:rsidRPr="00673919">
        <w:rPr>
          <w:vertAlign w:val="subscript"/>
        </w:rPr>
        <w:t>2</w:t>
      </w:r>
      <w:r w:rsidR="003B6734" w:rsidRPr="00673919">
        <w:t>) are used to fit the raw data.</w:t>
      </w:r>
    </w:p>
    <w:p w14:paraId="1D15C04F" w14:textId="647F621B" w:rsidR="0054671A" w:rsidRPr="00217694" w:rsidRDefault="002003D0" w:rsidP="009C19A2">
      <w:pPr>
        <w:pStyle w:val="Heading1"/>
        <w:rPr>
          <w:rFonts w:cs="Times New Roman"/>
          <w:szCs w:val="24"/>
        </w:rPr>
      </w:pPr>
      <w:r w:rsidRPr="00E246AF">
        <w:lastRenderedPageBreak/>
        <w:t>X-ray photoelectron spectroscopy (XPS)</w:t>
      </w:r>
      <w:bookmarkEnd w:id="5"/>
      <w:r w:rsidR="00D5368C" w:rsidRPr="00D5368C">
        <w:rPr>
          <w:rFonts w:cs="Times New Roman"/>
          <w:szCs w:val="24"/>
        </w:rPr>
        <w:t xml:space="preserve"> </w:t>
      </w:r>
      <w:r w:rsidR="00D5368C">
        <w:rPr>
          <w:rFonts w:cs="Times New Roman"/>
          <w:szCs w:val="24"/>
        </w:rPr>
        <w:t>characterization</w:t>
      </w:r>
      <w:bookmarkEnd w:id="6"/>
    </w:p>
    <w:p w14:paraId="5538A1A4" w14:textId="05723450" w:rsidR="00032E8C" w:rsidRPr="00BB21A0" w:rsidRDefault="00BB21A0" w:rsidP="00BB21A0">
      <w:pPr>
        <w:pStyle w:val="Heading2"/>
      </w:pPr>
      <w:r>
        <w:t xml:space="preserve">2.1 </w:t>
      </w:r>
      <w:r w:rsidR="00857EA4" w:rsidRPr="00BB21A0">
        <w:t>Description of XPS fitting procedures</w:t>
      </w:r>
    </w:p>
    <w:p w14:paraId="3A1ED61C" w14:textId="09C320BF" w:rsidR="00896E46" w:rsidRDefault="00032E8C" w:rsidP="006655F5">
      <w:pPr>
        <w:spacing w:line="240" w:lineRule="auto"/>
        <w:jc w:val="both"/>
        <w:rPr>
          <w:szCs w:val="24"/>
        </w:rPr>
      </w:pPr>
      <w:r w:rsidRPr="0074245A">
        <w:rPr>
          <w:szCs w:val="24"/>
        </w:rPr>
        <w:t xml:space="preserve">XPS measurements were made with a Phi </w:t>
      </w:r>
      <w:r w:rsidR="00F3771A">
        <w:rPr>
          <w:szCs w:val="24"/>
        </w:rPr>
        <w:t xml:space="preserve">5500 </w:t>
      </w:r>
      <w:r w:rsidRPr="0074245A">
        <w:rPr>
          <w:szCs w:val="24"/>
        </w:rPr>
        <w:t xml:space="preserve">XPS system </w:t>
      </w:r>
      <w:r w:rsidR="00896E46" w:rsidRPr="0074245A">
        <w:rPr>
          <w:szCs w:val="24"/>
        </w:rPr>
        <w:t>using a monochromatic Al Kα source (15 kV, 20 mA</w:t>
      </w:r>
      <w:r w:rsidRPr="0074245A">
        <w:rPr>
          <w:szCs w:val="24"/>
        </w:rPr>
        <w:t>)</w:t>
      </w:r>
      <w:r w:rsidR="0059207A">
        <w:rPr>
          <w:szCs w:val="24"/>
        </w:rPr>
        <w:t xml:space="preserve"> with base pressure </w:t>
      </w:r>
      <w:r w:rsidR="0059207A" w:rsidRPr="0074245A">
        <w:rPr>
          <w:szCs w:val="24"/>
        </w:rPr>
        <w:t>&lt; 2x10</w:t>
      </w:r>
      <w:r w:rsidR="0059207A">
        <w:rPr>
          <w:szCs w:val="24"/>
          <w:vertAlign w:val="superscript"/>
        </w:rPr>
        <w:t>-9</w:t>
      </w:r>
      <w:r w:rsidR="0059207A" w:rsidRPr="0074245A">
        <w:rPr>
          <w:szCs w:val="24"/>
        </w:rPr>
        <w:t xml:space="preserve"> Torr</w:t>
      </w:r>
      <w:r w:rsidRPr="0074245A">
        <w:rPr>
          <w:szCs w:val="24"/>
        </w:rPr>
        <w:t>.</w:t>
      </w:r>
      <w:r w:rsidR="004C1091">
        <w:rPr>
          <w:szCs w:val="24"/>
        </w:rPr>
        <w:t xml:space="preserve"> During all scans,</w:t>
      </w:r>
      <w:r w:rsidR="00027C3C">
        <w:rPr>
          <w:szCs w:val="24"/>
        </w:rPr>
        <w:t xml:space="preserve"> possible</w:t>
      </w:r>
      <w:r w:rsidR="004C1091">
        <w:rPr>
          <w:szCs w:val="24"/>
        </w:rPr>
        <w:t xml:space="preserve"> surface charging </w:t>
      </w:r>
      <w:r w:rsidR="00027C3C">
        <w:rPr>
          <w:szCs w:val="24"/>
        </w:rPr>
        <w:t xml:space="preserve">was </w:t>
      </w:r>
      <w:r w:rsidR="004C1091">
        <w:rPr>
          <w:szCs w:val="24"/>
        </w:rPr>
        <w:t xml:space="preserve">mitigated by supplying electrons </w:t>
      </w:r>
      <w:r w:rsidR="003647D8">
        <w:rPr>
          <w:szCs w:val="24"/>
        </w:rPr>
        <w:t>via an overhead, low energy (</w:t>
      </w:r>
      <w:r w:rsidR="003647D8">
        <w:rPr>
          <w:rFonts w:ascii="Calibri" w:hAnsi="Calibri" w:cs="Calibri"/>
          <w:szCs w:val="24"/>
        </w:rPr>
        <w:t>≈</w:t>
      </w:r>
      <w:r w:rsidR="003647D8">
        <w:rPr>
          <w:szCs w:val="24"/>
        </w:rPr>
        <w:t xml:space="preserve">1eV) electron beam </w:t>
      </w:r>
      <w:r w:rsidR="004C1091">
        <w:rPr>
          <w:szCs w:val="24"/>
        </w:rPr>
        <w:t xml:space="preserve">to the </w:t>
      </w:r>
      <w:r w:rsidR="003647D8">
        <w:rPr>
          <w:szCs w:val="24"/>
        </w:rPr>
        <w:t xml:space="preserve">insulating </w:t>
      </w:r>
      <w:r w:rsidR="004C1091">
        <w:rPr>
          <w:szCs w:val="24"/>
        </w:rPr>
        <w:t>sample</w:t>
      </w:r>
      <w:r w:rsidR="003647D8">
        <w:rPr>
          <w:szCs w:val="24"/>
        </w:rPr>
        <w:t xml:space="preserve"> surface. </w:t>
      </w:r>
      <w:r w:rsidR="0059207A">
        <w:rPr>
          <w:szCs w:val="24"/>
        </w:rPr>
        <w:t>S</w:t>
      </w:r>
      <w:r w:rsidR="00710012" w:rsidRPr="0074245A">
        <w:rPr>
          <w:szCs w:val="24"/>
        </w:rPr>
        <w:t>urv</w:t>
      </w:r>
      <w:r w:rsidR="00896E46">
        <w:rPr>
          <w:szCs w:val="24"/>
        </w:rPr>
        <w:t xml:space="preserve">ey scans were </w:t>
      </w:r>
      <w:r w:rsidR="0059207A">
        <w:rPr>
          <w:szCs w:val="24"/>
        </w:rPr>
        <w:t xml:space="preserve">first </w:t>
      </w:r>
      <w:r w:rsidR="00896E46">
        <w:rPr>
          <w:szCs w:val="24"/>
        </w:rPr>
        <w:t xml:space="preserve">performed </w:t>
      </w:r>
      <w:r w:rsidR="00710012" w:rsidRPr="0074245A">
        <w:rPr>
          <w:szCs w:val="24"/>
        </w:rPr>
        <w:t xml:space="preserve">over the range of 0 </w:t>
      </w:r>
      <w:r w:rsidR="0059207A">
        <w:rPr>
          <w:szCs w:val="24"/>
        </w:rPr>
        <w:t xml:space="preserve">eV </w:t>
      </w:r>
      <w:r w:rsidR="00710012" w:rsidRPr="0074245A">
        <w:rPr>
          <w:szCs w:val="24"/>
        </w:rPr>
        <w:t>to 10</w:t>
      </w:r>
      <w:r w:rsidR="00710012" w:rsidRPr="00CF4096">
        <w:rPr>
          <w:szCs w:val="24"/>
        </w:rPr>
        <w:t>00 eV. Multiplex</w:t>
      </w:r>
      <w:r w:rsidR="00896E46" w:rsidRPr="00CF4096">
        <w:rPr>
          <w:szCs w:val="24"/>
        </w:rPr>
        <w:t xml:space="preserve"> scans </w:t>
      </w:r>
      <w:r w:rsidR="0059207A" w:rsidRPr="00CF4096">
        <w:rPr>
          <w:szCs w:val="24"/>
        </w:rPr>
        <w:t xml:space="preserve">were then carried out </w:t>
      </w:r>
      <w:r w:rsidR="00896E46" w:rsidRPr="00CF4096">
        <w:rPr>
          <w:szCs w:val="24"/>
        </w:rPr>
        <w:t>over regions of interest (C</w:t>
      </w:r>
      <w:r w:rsidR="0059207A" w:rsidRPr="00CF4096">
        <w:rPr>
          <w:szCs w:val="24"/>
        </w:rPr>
        <w:t xml:space="preserve"> </w:t>
      </w:r>
      <w:r w:rsidR="00896E46" w:rsidRPr="00CF4096">
        <w:rPr>
          <w:szCs w:val="24"/>
        </w:rPr>
        <w:t>1s, O</w:t>
      </w:r>
      <w:r w:rsidR="0059207A" w:rsidRPr="00CF4096">
        <w:rPr>
          <w:szCs w:val="24"/>
        </w:rPr>
        <w:t xml:space="preserve"> </w:t>
      </w:r>
      <w:r w:rsidR="00896E46" w:rsidRPr="00CF4096">
        <w:rPr>
          <w:szCs w:val="24"/>
        </w:rPr>
        <w:t>1s, Si</w:t>
      </w:r>
      <w:r w:rsidR="0059207A" w:rsidRPr="00CF4096">
        <w:rPr>
          <w:szCs w:val="24"/>
        </w:rPr>
        <w:t xml:space="preserve"> </w:t>
      </w:r>
      <w:r w:rsidR="00896E46" w:rsidRPr="00CF4096">
        <w:rPr>
          <w:szCs w:val="24"/>
        </w:rPr>
        <w:t>2p, Pt</w:t>
      </w:r>
      <w:r w:rsidR="0059207A" w:rsidRPr="00CF4096">
        <w:rPr>
          <w:szCs w:val="24"/>
        </w:rPr>
        <w:t xml:space="preserve"> </w:t>
      </w:r>
      <w:r w:rsidR="00896E46" w:rsidRPr="00CF4096">
        <w:rPr>
          <w:szCs w:val="24"/>
        </w:rPr>
        <w:t xml:space="preserve">4f) </w:t>
      </w:r>
      <w:r w:rsidR="0059207A" w:rsidRPr="00CF4096">
        <w:rPr>
          <w:szCs w:val="24"/>
        </w:rPr>
        <w:t xml:space="preserve">with a step size of </w:t>
      </w:r>
      <w:r w:rsidR="00CF4096" w:rsidRPr="00CF4096">
        <w:rPr>
          <w:szCs w:val="24"/>
        </w:rPr>
        <w:t>0.05</w:t>
      </w:r>
      <w:r w:rsidR="0059207A" w:rsidRPr="00CF4096">
        <w:rPr>
          <w:szCs w:val="24"/>
        </w:rPr>
        <w:t xml:space="preserve"> eV, dwell time of </w:t>
      </w:r>
      <w:r w:rsidR="00CF4096" w:rsidRPr="00CF4096">
        <w:rPr>
          <w:szCs w:val="24"/>
        </w:rPr>
        <w:t>655</w:t>
      </w:r>
      <w:r w:rsidR="0059207A" w:rsidRPr="00CF4096">
        <w:rPr>
          <w:szCs w:val="24"/>
        </w:rPr>
        <w:t xml:space="preserve"> ms, and pass energy of </w:t>
      </w:r>
      <w:r w:rsidR="00CF4096" w:rsidRPr="00CF4096">
        <w:rPr>
          <w:szCs w:val="24"/>
        </w:rPr>
        <w:t>23.5</w:t>
      </w:r>
      <w:r w:rsidR="0059207A" w:rsidRPr="00CF4096">
        <w:rPr>
          <w:szCs w:val="24"/>
        </w:rPr>
        <w:t xml:space="preserve"> eV.</w:t>
      </w:r>
      <w:r w:rsidR="00EA60FA">
        <w:rPr>
          <w:szCs w:val="24"/>
        </w:rPr>
        <w:t xml:space="preserve"> </w:t>
      </w:r>
    </w:p>
    <w:p w14:paraId="48C52A21" w14:textId="323121C1" w:rsidR="0068365A" w:rsidRDefault="0059207A" w:rsidP="006655F5">
      <w:pPr>
        <w:spacing w:line="240" w:lineRule="auto"/>
        <w:ind w:firstLine="720"/>
        <w:jc w:val="both"/>
        <w:rPr>
          <w:szCs w:val="24"/>
        </w:rPr>
      </w:pPr>
      <w:r>
        <w:rPr>
          <w:szCs w:val="24"/>
        </w:rPr>
        <w:t>Multiplex scans were</w:t>
      </w:r>
      <w:r w:rsidR="00710012" w:rsidRPr="0074245A">
        <w:rPr>
          <w:szCs w:val="24"/>
        </w:rPr>
        <w:t xml:space="preserve"> </w:t>
      </w:r>
      <w:r>
        <w:rPr>
          <w:szCs w:val="24"/>
        </w:rPr>
        <w:t>analyzed</w:t>
      </w:r>
      <w:r w:rsidR="00710012" w:rsidRPr="0074245A">
        <w:rPr>
          <w:szCs w:val="24"/>
        </w:rPr>
        <w:t xml:space="preserve"> using XPS</w:t>
      </w:r>
      <w:r w:rsidR="005740B0">
        <w:rPr>
          <w:szCs w:val="24"/>
        </w:rPr>
        <w:t xml:space="preserve">PEAK </w:t>
      </w:r>
      <w:r w:rsidR="00860873">
        <w:rPr>
          <w:szCs w:val="24"/>
        </w:rPr>
        <w:t>4.1 software</w:t>
      </w:r>
      <w:r w:rsidR="00710012" w:rsidRPr="0074245A">
        <w:rPr>
          <w:szCs w:val="24"/>
        </w:rPr>
        <w:t xml:space="preserve">. </w:t>
      </w:r>
      <w:r w:rsidR="00896E46">
        <w:rPr>
          <w:szCs w:val="24"/>
        </w:rPr>
        <w:t>A Shirley model was used to fit the background for all raw data, with peaks being fit using a Lorentzian-</w:t>
      </w:r>
      <w:r>
        <w:rPr>
          <w:szCs w:val="24"/>
        </w:rPr>
        <w:t>Gaussian</w:t>
      </w:r>
      <w:r w:rsidR="00896E46">
        <w:rPr>
          <w:szCs w:val="24"/>
        </w:rPr>
        <w:t xml:space="preserve"> profile. Pt</w:t>
      </w:r>
      <w:r>
        <w:rPr>
          <w:szCs w:val="24"/>
        </w:rPr>
        <w:t xml:space="preserve"> </w:t>
      </w:r>
      <w:r w:rsidR="00896E46">
        <w:rPr>
          <w:szCs w:val="24"/>
        </w:rPr>
        <w:t>4f spectra was analyzed for a bare Pt control sample, with the 4f</w:t>
      </w:r>
      <w:r w:rsidR="00896E46" w:rsidRPr="000D5BB2">
        <w:rPr>
          <w:szCs w:val="24"/>
          <w:vertAlign w:val="subscript"/>
        </w:rPr>
        <w:t xml:space="preserve">7/2 </w:t>
      </w:r>
      <w:r w:rsidR="00896E46">
        <w:rPr>
          <w:szCs w:val="24"/>
        </w:rPr>
        <w:t>peak location</w:t>
      </w:r>
      <w:r w:rsidR="00C51E59">
        <w:rPr>
          <w:szCs w:val="24"/>
        </w:rPr>
        <w:t xml:space="preserve"> of 71.2 eV</w:t>
      </w:r>
      <w:r w:rsidR="003647D8">
        <w:rPr>
          <w:szCs w:val="24"/>
        </w:rPr>
        <w:t xml:space="preserve"> and 4f</w:t>
      </w:r>
      <w:r w:rsidR="003647D8" w:rsidRPr="00174459">
        <w:rPr>
          <w:szCs w:val="24"/>
          <w:vertAlign w:val="subscript"/>
        </w:rPr>
        <w:t>5/2</w:t>
      </w:r>
      <w:r w:rsidR="003647D8">
        <w:rPr>
          <w:szCs w:val="24"/>
        </w:rPr>
        <w:t xml:space="preserve"> peak location of 74.5</w:t>
      </w:r>
      <w:r w:rsidR="00896E46">
        <w:rPr>
          <w:szCs w:val="24"/>
        </w:rPr>
        <w:t xml:space="preserve"> being in agreement with values reported for metallic Pt.</w:t>
      </w:r>
      <w:r w:rsidR="008B109F">
        <w:rPr>
          <w:szCs w:val="24"/>
        </w:rPr>
        <w:fldChar w:fldCharType="begin" w:fldLock="1"/>
      </w:r>
      <w:r w:rsidR="008B109F">
        <w:rPr>
          <w:szCs w:val="24"/>
        </w:rPr>
        <w:instrText>ADDIN CSL_CITATION {"citationItems":[{"id":"ITEM-1","itemData":{"author":[{"dropping-particle":"","family":"Moulder","given":"John F.","non-dropping-particle":"","parse-names":false,"suffix":""},{"dropping-particle":"","family":"Stickle","given":"William F.","non-dropping-particle":"","parse-names":false,"suffix":""},{"dropping-particle":"","family":"Sobol","given":"Peter E.","non-dropping-particle":"","parse-names":false,"suffix":""},{"dropping-particle":"","family":"Bomben","given":"Kenneth D.","non-dropping-particle":"","parse-names":false,"suffix":""}],"editor":[{"dropping-particle":"","family":"Chastain","given":"Jill","non-dropping-particle":"","parse-names":false,"suffix":""},{"dropping-particle":"","family":"King","given":"Roger C.","non-dropping-particle":"","parse-names":false,"suffix":""}],"id":"ITEM-1","issued":{"date-parts":[["1995"]]},"publisher":"Physical Electronics, Inc.","publisher-place":"Eden Prairie, MN","title":"Handbook of X-ray Photoelectron Spectroscopy","type":"book"},"uris":["http://www.mendeley.com/documents/?uuid=ca224ba4-b2b5-45d9-b8d4-e93f63090964"]}],"mendeley":{"formattedCitation":"&lt;sup&gt;[3]&lt;/sup&gt;","plainTextFormattedCitation":"[3]","previouslyFormattedCitation":"&lt;sup&gt;[3]&lt;/sup&gt;"},"properties":{"noteIndex":0},"schema":"https://github.com/citation-style-language/schema/raw/master/csl-citation.json"}</w:instrText>
      </w:r>
      <w:r w:rsidR="008B109F">
        <w:rPr>
          <w:szCs w:val="24"/>
        </w:rPr>
        <w:fldChar w:fldCharType="separate"/>
      </w:r>
      <w:r w:rsidR="008B109F" w:rsidRPr="008B109F">
        <w:rPr>
          <w:noProof/>
          <w:szCs w:val="24"/>
          <w:vertAlign w:val="superscript"/>
        </w:rPr>
        <w:t>[3]</w:t>
      </w:r>
      <w:r w:rsidR="008B109F">
        <w:rPr>
          <w:szCs w:val="24"/>
        </w:rPr>
        <w:fldChar w:fldCharType="end"/>
      </w:r>
      <w:r w:rsidR="00896E46">
        <w:rPr>
          <w:szCs w:val="24"/>
        </w:rPr>
        <w:t xml:space="preserve"> </w:t>
      </w:r>
      <w:r w:rsidR="00C51E59">
        <w:rPr>
          <w:szCs w:val="24"/>
        </w:rPr>
        <w:t xml:space="preserve">All multiplex spectra </w:t>
      </w:r>
      <w:r w:rsidR="00896E46">
        <w:rPr>
          <w:szCs w:val="24"/>
        </w:rPr>
        <w:t xml:space="preserve">for encapsulated samples were </w:t>
      </w:r>
      <w:r w:rsidR="003647D8">
        <w:rPr>
          <w:szCs w:val="24"/>
        </w:rPr>
        <w:t xml:space="preserve">then </w:t>
      </w:r>
      <w:r w:rsidR="00C51E59">
        <w:rPr>
          <w:szCs w:val="24"/>
        </w:rPr>
        <w:t>shifted</w:t>
      </w:r>
      <w:r w:rsidR="00896E46">
        <w:rPr>
          <w:szCs w:val="24"/>
        </w:rPr>
        <w:t xml:space="preserve"> such that the Pt</w:t>
      </w:r>
      <w:r w:rsidR="00F71EB1">
        <w:rPr>
          <w:szCs w:val="24"/>
        </w:rPr>
        <w:t xml:space="preserve"> </w:t>
      </w:r>
      <w:r w:rsidR="00896E46">
        <w:rPr>
          <w:szCs w:val="24"/>
        </w:rPr>
        <w:t>4f</w:t>
      </w:r>
      <w:r w:rsidR="00896E46" w:rsidRPr="00174459">
        <w:rPr>
          <w:szCs w:val="24"/>
          <w:vertAlign w:val="subscript"/>
        </w:rPr>
        <w:t>7/2</w:t>
      </w:r>
      <w:r w:rsidR="00896E46">
        <w:rPr>
          <w:szCs w:val="24"/>
        </w:rPr>
        <w:t xml:space="preserve"> peak</w:t>
      </w:r>
      <w:r w:rsidR="003647D8">
        <w:rPr>
          <w:szCs w:val="24"/>
        </w:rPr>
        <w:t xml:space="preserve"> for each respective sample</w:t>
      </w:r>
      <w:r w:rsidR="00896E46">
        <w:rPr>
          <w:szCs w:val="24"/>
        </w:rPr>
        <w:t xml:space="preserve"> was centered a</w:t>
      </w:r>
      <w:r w:rsidR="00EA60FA">
        <w:rPr>
          <w:szCs w:val="24"/>
        </w:rPr>
        <w:t>t</w:t>
      </w:r>
      <w:r w:rsidR="00896E46">
        <w:rPr>
          <w:szCs w:val="24"/>
        </w:rPr>
        <w:t xml:space="preserve"> 71.2 eV. </w:t>
      </w:r>
      <w:r w:rsidR="003647D8" w:rsidRPr="003647D8">
        <w:rPr>
          <w:szCs w:val="24"/>
        </w:rPr>
        <w:t>Similarly, the ratios between the fitted Pt 4f</w:t>
      </w:r>
      <w:r w:rsidR="003647D8" w:rsidRPr="00174459">
        <w:rPr>
          <w:szCs w:val="24"/>
          <w:vertAlign w:val="subscript"/>
        </w:rPr>
        <w:t>5/2</w:t>
      </w:r>
      <w:r w:rsidR="003647D8" w:rsidRPr="003647D8">
        <w:rPr>
          <w:szCs w:val="24"/>
        </w:rPr>
        <w:t xml:space="preserve"> to Pt 4f</w:t>
      </w:r>
      <w:r w:rsidR="003647D8" w:rsidRPr="00174459">
        <w:rPr>
          <w:szCs w:val="24"/>
          <w:vertAlign w:val="subscript"/>
        </w:rPr>
        <w:t>7/2</w:t>
      </w:r>
      <w:r w:rsidR="003647D8" w:rsidRPr="003647D8">
        <w:rPr>
          <w:szCs w:val="24"/>
        </w:rPr>
        <w:t xml:space="preserve"> peak areas were confirmed to be 0.75</w:t>
      </w:r>
      <w:r w:rsidR="0068365A">
        <w:rPr>
          <w:szCs w:val="24"/>
        </w:rPr>
        <w:t xml:space="preserve"> for the bare Pt control samples</w:t>
      </w:r>
      <w:r w:rsidR="003647D8" w:rsidRPr="003647D8">
        <w:rPr>
          <w:szCs w:val="24"/>
        </w:rPr>
        <w:t>, and all subsequent fits for the encapsulated samples were then confined to this ratio.</w:t>
      </w:r>
      <w:r w:rsidR="003647D8">
        <w:rPr>
          <w:rFonts w:ascii="Arial" w:hAnsi="Arial" w:cs="Arial"/>
          <w:sz w:val="30"/>
          <w:szCs w:val="30"/>
        </w:rPr>
        <w:t xml:space="preserve"> </w:t>
      </w:r>
      <w:r w:rsidR="003647D8" w:rsidRPr="003647D8">
        <w:rPr>
          <w:szCs w:val="24"/>
        </w:rPr>
        <w:t>For all duplex peaks, FWHM values between were also set to be equivalent.</w:t>
      </w:r>
      <w:r w:rsidR="0068365A">
        <w:rPr>
          <w:szCs w:val="24"/>
        </w:rPr>
        <w:t xml:space="preserve"> </w:t>
      </w:r>
      <w:r w:rsidR="00067F3A">
        <w:rPr>
          <w:szCs w:val="24"/>
        </w:rPr>
        <w:t xml:space="preserve">Asymmetry factors </w:t>
      </w:r>
      <w:r w:rsidR="00C51E59">
        <w:rPr>
          <w:szCs w:val="24"/>
        </w:rPr>
        <w:t xml:space="preserve">of </w:t>
      </w:r>
      <w:r w:rsidR="00067F3A" w:rsidRPr="00DC580B">
        <w:rPr>
          <w:szCs w:val="24"/>
        </w:rPr>
        <w:t>TS=0.2</w:t>
      </w:r>
      <w:r w:rsidR="00067F3A" w:rsidRPr="0074245A">
        <w:rPr>
          <w:szCs w:val="24"/>
        </w:rPr>
        <w:t xml:space="preserve"> and TL=60</w:t>
      </w:r>
      <w:r w:rsidR="00C51E59">
        <w:rPr>
          <w:szCs w:val="24"/>
        </w:rPr>
        <w:t xml:space="preserve"> were found to be suitable for fitting all multiplex spectra</w:t>
      </w:r>
      <w:r w:rsidR="0068365A">
        <w:rPr>
          <w:szCs w:val="24"/>
        </w:rPr>
        <w:t xml:space="preserve"> for all samples</w:t>
      </w:r>
      <w:r w:rsidR="003647D8">
        <w:rPr>
          <w:szCs w:val="24"/>
        </w:rPr>
        <w:t>.</w:t>
      </w:r>
      <w:r w:rsidR="0068365A">
        <w:rPr>
          <w:szCs w:val="24"/>
        </w:rPr>
        <w:t xml:space="preserve"> </w:t>
      </w:r>
    </w:p>
    <w:p w14:paraId="67F9B556" w14:textId="2784CD4D" w:rsidR="00067F3A" w:rsidRDefault="0068365A" w:rsidP="006655F5">
      <w:pPr>
        <w:spacing w:line="240" w:lineRule="auto"/>
        <w:ind w:firstLine="720"/>
        <w:jc w:val="both"/>
        <w:rPr>
          <w:szCs w:val="24"/>
        </w:rPr>
      </w:pPr>
      <w:r>
        <w:rPr>
          <w:szCs w:val="24"/>
        </w:rPr>
        <w:t>For the angle resolved XPS analysis, Si spectra were fit using 2 individual 1s peaks for the 30 min samples, with the peak location being constrained to 102.4 eV and 103.7, which is consistent with the determined peak location for an uncured PDMS sample, and the literature reported value for SiO2,</w:t>
      </w:r>
      <w:r w:rsidR="008B109F">
        <w:rPr>
          <w:szCs w:val="24"/>
        </w:rPr>
        <w:fldChar w:fldCharType="begin" w:fldLock="1"/>
      </w:r>
      <w:r w:rsidR="008B109F">
        <w:rPr>
          <w:szCs w:val="24"/>
        </w:rPr>
        <w:instrText>ADDIN CSL_CITATION {"citationItems":[{"id":"ITEM-1","itemData":{"author":[{"dropping-particle":"","family":"Alfonsetti","given":"R.","non-dropping-particle":"","parse-names":false,"suffix":""},{"dropping-particle":"","family":"Lozzi","given":"L.","non-dropping-particle":"","parse-names":false,"suffix":""},{"dropping-particle":"","family":"Passacantando","given":"P.","non-dropping-particle":"","parse-names":false,"suffix":""},{"dropping-particle":"","family":"Picozzi","given":"P.","non-dropping-particle":"","parse-names":false,"suffix":""},{"dropping-particle":"","family":"Santucci","given":"S.","non-dropping-particle":"","parse-names":false,"suffix":""}],"container-title":"Applied Surface Science","id":"ITEM-1","issued":{"date-parts":[["1993"]]},"page":"222-225","title":"XPS Studies on SiOx thin films","type":"article-journal","volume":"70/71"},"uris":["http://www.mendeley.com/documents/?uuid=43249fc8-c481-4ae4-845e-84dd59979f18"]}],"mendeley":{"formattedCitation":"&lt;sup&gt;[4]&lt;/sup&gt;","plainTextFormattedCitation":"[4]","previouslyFormattedCitation":"&lt;sup&gt;[4]&lt;/sup&gt;"},"properties":{"noteIndex":0},"schema":"https://github.com/citation-style-language/schema/raw/master/csl-citation.json"}</w:instrText>
      </w:r>
      <w:r w:rsidR="008B109F">
        <w:rPr>
          <w:szCs w:val="24"/>
        </w:rPr>
        <w:fldChar w:fldCharType="separate"/>
      </w:r>
      <w:r w:rsidR="008B109F" w:rsidRPr="008B109F">
        <w:rPr>
          <w:noProof/>
          <w:szCs w:val="24"/>
          <w:vertAlign w:val="superscript"/>
        </w:rPr>
        <w:t>[4]</w:t>
      </w:r>
      <w:r w:rsidR="008B109F">
        <w:rPr>
          <w:szCs w:val="24"/>
        </w:rPr>
        <w:fldChar w:fldCharType="end"/>
      </w:r>
      <w:r>
        <w:rPr>
          <w:szCs w:val="24"/>
        </w:rPr>
        <w:t xml:space="preserve"> respectively. Electrodes treated for 120 minutes were by contrast fit with only 1 peak, which provided the best fit across all sampling ang</w:t>
      </w:r>
      <w:r w:rsidR="00774468">
        <w:rPr>
          <w:szCs w:val="24"/>
        </w:rPr>
        <w:t>les.</w:t>
      </w:r>
      <w:r>
        <w:rPr>
          <w:szCs w:val="24"/>
        </w:rPr>
        <w:t xml:space="preserve"> %Lorentzian-Guassian distribution </w:t>
      </w:r>
      <w:r w:rsidR="00774468">
        <w:rPr>
          <w:szCs w:val="24"/>
        </w:rPr>
        <w:t xml:space="preserve">for each fitted peak at different sampling angles </w:t>
      </w:r>
      <w:r>
        <w:rPr>
          <w:szCs w:val="24"/>
        </w:rPr>
        <w:t>was found to not d</w:t>
      </w:r>
      <w:r w:rsidR="006F1658">
        <w:rPr>
          <w:szCs w:val="24"/>
        </w:rPr>
        <w:t>iffer</w:t>
      </w:r>
      <w:r>
        <w:rPr>
          <w:szCs w:val="24"/>
        </w:rPr>
        <w:t xml:space="preserve"> beyond 15</w:t>
      </w:r>
      <w:r w:rsidR="00774468">
        <w:rPr>
          <w:szCs w:val="24"/>
        </w:rPr>
        <w:t>%</w:t>
      </w:r>
      <w:r w:rsidR="006F1658">
        <w:rPr>
          <w:szCs w:val="24"/>
        </w:rPr>
        <w:t xml:space="preserve"> between the maximum and minimum %LG</w:t>
      </w:r>
      <w:r>
        <w:rPr>
          <w:szCs w:val="24"/>
        </w:rPr>
        <w:t xml:space="preserve">. </w:t>
      </w:r>
      <w:r w:rsidR="006F1658">
        <w:rPr>
          <w:szCs w:val="24"/>
        </w:rPr>
        <w:t>Maximum full width half maximum (</w:t>
      </w:r>
      <w:r>
        <w:rPr>
          <w:szCs w:val="24"/>
        </w:rPr>
        <w:t>FWHM</w:t>
      </w:r>
      <w:r w:rsidR="006F1658">
        <w:rPr>
          <w:szCs w:val="24"/>
        </w:rPr>
        <w:t>) values</w:t>
      </w:r>
      <w:r>
        <w:rPr>
          <w:szCs w:val="24"/>
        </w:rPr>
        <w:t xml:space="preserve"> </w:t>
      </w:r>
      <w:r w:rsidR="006F1658">
        <w:rPr>
          <w:szCs w:val="24"/>
        </w:rPr>
        <w:t xml:space="preserve">versus minimum FWHM values </w:t>
      </w:r>
      <w:r>
        <w:rPr>
          <w:szCs w:val="24"/>
        </w:rPr>
        <w:t xml:space="preserve">between all </w:t>
      </w:r>
      <w:r w:rsidR="00774468">
        <w:rPr>
          <w:szCs w:val="24"/>
        </w:rPr>
        <w:t>equivalent binding energy peaks also did not d</w:t>
      </w:r>
      <w:r w:rsidR="006F1658">
        <w:rPr>
          <w:szCs w:val="24"/>
        </w:rPr>
        <w:t>iffer by more than</w:t>
      </w:r>
      <w:r w:rsidR="00774468">
        <w:rPr>
          <w:szCs w:val="24"/>
        </w:rPr>
        <w:t xml:space="preserve"> 11%. </w:t>
      </w:r>
    </w:p>
    <w:p w14:paraId="136F2DB6" w14:textId="5785C6A8" w:rsidR="005D070E" w:rsidRDefault="00067F3A" w:rsidP="006655F5">
      <w:pPr>
        <w:spacing w:line="240" w:lineRule="auto"/>
        <w:jc w:val="both"/>
        <w:rPr>
          <w:szCs w:val="24"/>
        </w:rPr>
      </w:pPr>
      <w:r>
        <w:rPr>
          <w:szCs w:val="24"/>
        </w:rPr>
        <w:tab/>
      </w:r>
      <w:r w:rsidR="00C51E59">
        <w:rPr>
          <w:szCs w:val="24"/>
        </w:rPr>
        <w:t>I</w:t>
      </w:r>
      <w:r>
        <w:rPr>
          <w:szCs w:val="24"/>
        </w:rPr>
        <w:t>ntegrated</w:t>
      </w:r>
      <w:r w:rsidR="00C51E59">
        <w:rPr>
          <w:szCs w:val="24"/>
        </w:rPr>
        <w:t xml:space="preserve"> peak areas</w:t>
      </w:r>
      <w:r>
        <w:rPr>
          <w:szCs w:val="24"/>
        </w:rPr>
        <w:t xml:space="preserve"> </w:t>
      </w:r>
      <w:r w:rsidR="00F700BE">
        <w:rPr>
          <w:szCs w:val="24"/>
        </w:rPr>
        <w:t>for each multiplex region</w:t>
      </w:r>
      <w:r w:rsidR="00EA60FA">
        <w:rPr>
          <w:szCs w:val="24"/>
        </w:rPr>
        <w:t xml:space="preserve"> </w:t>
      </w:r>
      <w:r w:rsidR="00C51E59">
        <w:rPr>
          <w:szCs w:val="24"/>
        </w:rPr>
        <w:t xml:space="preserve">were </w:t>
      </w:r>
      <w:r>
        <w:rPr>
          <w:szCs w:val="24"/>
        </w:rPr>
        <w:t xml:space="preserve">normalized by </w:t>
      </w:r>
      <w:r w:rsidR="00F700BE">
        <w:rPr>
          <w:szCs w:val="24"/>
        </w:rPr>
        <w:t xml:space="preserve">their </w:t>
      </w:r>
      <w:r>
        <w:rPr>
          <w:szCs w:val="24"/>
        </w:rPr>
        <w:t>respective atomic sensitivity factor</w:t>
      </w:r>
      <w:r w:rsidR="00F700BE">
        <w:rPr>
          <w:szCs w:val="24"/>
        </w:rPr>
        <w:t>s</w:t>
      </w:r>
      <w:r>
        <w:rPr>
          <w:szCs w:val="24"/>
        </w:rPr>
        <w:t xml:space="preserve"> (ASF)</w:t>
      </w:r>
      <w:r w:rsidR="008B109F">
        <w:rPr>
          <w:szCs w:val="24"/>
        </w:rPr>
        <w:fldChar w:fldCharType="begin" w:fldLock="1"/>
      </w:r>
      <w:r w:rsidR="008B109F">
        <w:rPr>
          <w:szCs w:val="24"/>
        </w:rPr>
        <w:instrText>ADDIN CSL_CITATION {"citationItems":[{"id":"ITEM-1","itemData":{"author":[{"dropping-particle":"","family":"Wagner","given":"C D","non-dropping-particle":"","parse-names":false,"suffix":""},{"dropping-particle":"","family":"Davis","given":"L E","non-dropping-particle":"","parse-names":false,"suffix":""},{"dropping-particle":"V","family":"Zeller","given":"M","non-dropping-particle":"","parse-names":false,"suffix":""},{"dropping-particle":"","family":"Taylor","given":"J A","non-dropping-particle":"","parse-names":false,"suffix":""},{"dropping-particle":"","family":"Raymond","given":"R H","non-dropping-particle":"","parse-names":false,"suffix":""},{"dropping-particle":"","family":"Gale","given":"L H","non-dropping-particle":"","parse-names":false,"suffix":""}],"container-title":"Surface and Interface Analysis","id":"ITEM-1","issue":"5","issued":{"date-parts":[["1981"]]},"page":"211-225","title":"Empirical Atomic Sensitivity Factors for Quantitative Analysis by Electron Spectroscopy for Chemical Analysis","type":"article-journal","volume":"3"},"uris":["http://www.mendeley.com/documents/?uuid=d6e815bc-617b-4bd2-897b-49c68615bcbf"]}],"mendeley":{"formattedCitation":"&lt;sup&gt;[5]&lt;/sup&gt;","plainTextFormattedCitation":"[5]","previouslyFormattedCitation":"&lt;sup&gt;[5]&lt;/sup&gt;"},"properties":{"noteIndex":0},"schema":"https://github.com/citation-style-language/schema/raw/master/csl-citation.json"}</w:instrText>
      </w:r>
      <w:r w:rsidR="008B109F">
        <w:rPr>
          <w:szCs w:val="24"/>
        </w:rPr>
        <w:fldChar w:fldCharType="separate"/>
      </w:r>
      <w:r w:rsidR="008B109F" w:rsidRPr="008B109F">
        <w:rPr>
          <w:noProof/>
          <w:szCs w:val="24"/>
          <w:vertAlign w:val="superscript"/>
        </w:rPr>
        <w:t>[5]</w:t>
      </w:r>
      <w:r w:rsidR="008B109F">
        <w:rPr>
          <w:szCs w:val="24"/>
        </w:rPr>
        <w:fldChar w:fldCharType="end"/>
      </w:r>
      <w:r w:rsidR="00EA60FA">
        <w:rPr>
          <w:szCs w:val="24"/>
        </w:rPr>
        <w:t xml:space="preserve"> </w:t>
      </w:r>
      <w:r>
        <w:rPr>
          <w:szCs w:val="24"/>
        </w:rPr>
        <w:t xml:space="preserve">to </w:t>
      </w:r>
      <w:r w:rsidR="00F700BE">
        <w:rPr>
          <w:szCs w:val="24"/>
        </w:rPr>
        <w:t>calculate</w:t>
      </w:r>
      <w:r>
        <w:rPr>
          <w:szCs w:val="24"/>
        </w:rPr>
        <w:t xml:space="preserve"> </w:t>
      </w:r>
      <w:r w:rsidR="00F700BE">
        <w:rPr>
          <w:szCs w:val="24"/>
        </w:rPr>
        <w:t xml:space="preserve">the </w:t>
      </w:r>
      <w:r>
        <w:rPr>
          <w:szCs w:val="24"/>
        </w:rPr>
        <w:t xml:space="preserve">atomic concentrations of </w:t>
      </w:r>
      <w:r w:rsidR="000D5BB2">
        <w:rPr>
          <w:szCs w:val="24"/>
        </w:rPr>
        <w:t xml:space="preserve">each </w:t>
      </w:r>
      <w:r w:rsidR="00F700BE">
        <w:rPr>
          <w:szCs w:val="24"/>
        </w:rPr>
        <w:t>element in the near surface region of the SiO</w:t>
      </w:r>
      <w:r w:rsidR="00F700BE">
        <w:rPr>
          <w:szCs w:val="24"/>
          <w:vertAlign w:val="subscript"/>
        </w:rPr>
        <w:t>x</w:t>
      </w:r>
      <w:r w:rsidR="00F700BE">
        <w:rPr>
          <w:szCs w:val="24"/>
        </w:rPr>
        <w:t>C</w:t>
      </w:r>
      <w:r w:rsidR="00F700BE">
        <w:rPr>
          <w:szCs w:val="24"/>
          <w:vertAlign w:val="subscript"/>
        </w:rPr>
        <w:t>y</w:t>
      </w:r>
      <w:r w:rsidR="00F700BE">
        <w:rPr>
          <w:szCs w:val="24"/>
        </w:rPr>
        <w:t xml:space="preserve"> electrodes.</w:t>
      </w:r>
      <w:r w:rsidR="00FE0612">
        <w:rPr>
          <w:szCs w:val="24"/>
        </w:rPr>
        <w:t xml:space="preserve"> </w:t>
      </w:r>
      <w:r w:rsidR="00710012" w:rsidRPr="0074245A">
        <w:rPr>
          <w:szCs w:val="24"/>
        </w:rPr>
        <w:t>Th</w:t>
      </w:r>
      <w:r w:rsidR="005740B0">
        <w:rPr>
          <w:szCs w:val="24"/>
        </w:rPr>
        <w:t xml:space="preserve">e </w:t>
      </w:r>
      <w:r w:rsidR="006F1658">
        <w:rPr>
          <w:szCs w:val="24"/>
        </w:rPr>
        <w:t>normalized intensity</w:t>
      </w:r>
      <w:r w:rsidR="005740B0">
        <w:rPr>
          <w:szCs w:val="24"/>
        </w:rPr>
        <w:t xml:space="preserve"> of </w:t>
      </w:r>
      <w:r w:rsidR="000D5BB2">
        <w:rPr>
          <w:szCs w:val="24"/>
        </w:rPr>
        <w:t xml:space="preserve">each </w:t>
      </w:r>
      <w:r w:rsidR="005740B0">
        <w:rPr>
          <w:szCs w:val="24"/>
        </w:rPr>
        <w:t xml:space="preserve">element </w:t>
      </w:r>
      <w:r w:rsidR="005740B0">
        <w:rPr>
          <w:i/>
          <w:szCs w:val="24"/>
        </w:rPr>
        <w:t>i</w:t>
      </w:r>
      <w:r w:rsidR="005740B0">
        <w:rPr>
          <w:szCs w:val="24"/>
        </w:rPr>
        <w:t xml:space="preserve"> was calculated as the ratio of</w:t>
      </w:r>
      <w:r w:rsidR="00EA60FA">
        <w:rPr>
          <w:szCs w:val="24"/>
        </w:rPr>
        <w:t xml:space="preserve"> intensity</w:t>
      </w:r>
      <w:r w:rsidR="005740B0">
        <w:rPr>
          <w:szCs w:val="24"/>
        </w:rPr>
        <w:t xml:space="preserve"> </w:t>
      </w:r>
      <w:r w:rsidR="00EA60FA">
        <w:rPr>
          <w:szCs w:val="24"/>
        </w:rPr>
        <w:t>(</w:t>
      </w:r>
      <w:r w:rsidR="005740B0" w:rsidRPr="00CC5EA6">
        <w:rPr>
          <w:i/>
          <w:szCs w:val="24"/>
        </w:rPr>
        <w:t>I</w:t>
      </w:r>
      <w:r w:rsidR="005740B0" w:rsidRPr="00CC5EA6">
        <w:rPr>
          <w:i/>
          <w:szCs w:val="24"/>
          <w:vertAlign w:val="subscript"/>
        </w:rPr>
        <w:t>i</w:t>
      </w:r>
      <w:r w:rsidR="00EA60FA">
        <w:rPr>
          <w:szCs w:val="24"/>
        </w:rPr>
        <w:t>) divided by the element’s respective atomic sensitivity factor (</w:t>
      </w:r>
      <w:r w:rsidR="005740B0" w:rsidRPr="00CC5EA6">
        <w:rPr>
          <w:szCs w:val="24"/>
        </w:rPr>
        <w:t>ASF</w:t>
      </w:r>
      <w:r w:rsidR="005740B0" w:rsidRPr="00CC5EA6">
        <w:rPr>
          <w:szCs w:val="24"/>
          <w:vertAlign w:val="subscript"/>
        </w:rPr>
        <w:t>i</w:t>
      </w:r>
      <w:r w:rsidR="00B55DD1">
        <w:rPr>
          <w:szCs w:val="24"/>
        </w:rPr>
        <w:t xml:space="preserve">), </w:t>
      </w:r>
      <w:r w:rsidR="006F1658">
        <w:rPr>
          <w:szCs w:val="24"/>
        </w:rPr>
        <w:t>which was then divided by t</w:t>
      </w:r>
      <w:r w:rsidR="005740B0">
        <w:rPr>
          <w:szCs w:val="24"/>
        </w:rPr>
        <w:t xml:space="preserve">he </w:t>
      </w:r>
      <w:r w:rsidR="006F1658">
        <w:rPr>
          <w:szCs w:val="24"/>
        </w:rPr>
        <w:t xml:space="preserve">sum total normalized intensity </w:t>
      </w:r>
      <m:oMath>
        <m:d>
          <m:dPr>
            <m:ctrlPr>
              <w:rPr>
                <w:rFonts w:ascii="Cambria Math" w:hAnsi="Cambria Math"/>
                <w:i/>
                <w:szCs w:val="24"/>
              </w:rPr>
            </m:ctrlPr>
          </m:dPr>
          <m:e>
            <m:nary>
              <m:naryPr>
                <m:chr m:val="∑"/>
                <m:limLoc m:val="undOvr"/>
                <m:supHide m:val="1"/>
                <m:ctrlPr>
                  <w:rPr>
                    <w:rFonts w:ascii="Cambria Math" w:hAnsi="Cambria Math"/>
                    <w:i/>
                    <w:szCs w:val="24"/>
                  </w:rPr>
                </m:ctrlPr>
              </m:naryPr>
              <m:sub>
                <m:r>
                  <w:rPr>
                    <w:rFonts w:ascii="Cambria Math" w:hAnsi="Cambria Math"/>
                    <w:szCs w:val="24"/>
                  </w:rPr>
                  <m:t>j</m:t>
                </m:r>
              </m:sub>
              <m:sup/>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I</m:t>
                        </m:r>
                      </m:e>
                      <m:sub>
                        <m:r>
                          <w:rPr>
                            <w:rFonts w:ascii="Cambria Math" w:hAnsi="Cambria Math"/>
                            <w:szCs w:val="24"/>
                          </w:rPr>
                          <m:t>j</m:t>
                        </m:r>
                      </m:sub>
                    </m:sSub>
                  </m:num>
                  <m:den>
                    <m:r>
                      <w:rPr>
                        <w:rFonts w:ascii="Cambria Math" w:hAnsi="Cambria Math"/>
                        <w:szCs w:val="24"/>
                      </w:rPr>
                      <m:t>AS</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j</m:t>
                        </m:r>
                      </m:sub>
                    </m:sSub>
                  </m:den>
                </m:f>
              </m:e>
            </m:nary>
          </m:e>
        </m:d>
      </m:oMath>
      <w:r w:rsidR="005740B0">
        <w:rPr>
          <w:szCs w:val="24"/>
        </w:rPr>
        <w:t xml:space="preserve"> for all </w:t>
      </w:r>
      <w:r w:rsidR="005740B0">
        <w:rPr>
          <w:i/>
          <w:szCs w:val="24"/>
        </w:rPr>
        <w:t xml:space="preserve">j </w:t>
      </w:r>
      <w:r w:rsidR="005740B0">
        <w:rPr>
          <w:szCs w:val="24"/>
        </w:rPr>
        <w:t>elements</w:t>
      </w:r>
      <w:r w:rsidR="005D070E">
        <w:rPr>
          <w:szCs w:val="24"/>
        </w:rPr>
        <w:t xml:space="preserve">, as shown in Equation </w:t>
      </w:r>
      <w:r w:rsidR="003164CC">
        <w:rPr>
          <w:szCs w:val="24"/>
        </w:rPr>
        <w:t>1</w:t>
      </w:r>
      <w:r w:rsidR="005D070E">
        <w:rPr>
          <w:szCs w:val="24"/>
        </w:rPr>
        <w:t>.1:</w:t>
      </w:r>
      <w:r w:rsidR="005740B0">
        <w:rPr>
          <w:szCs w:val="24"/>
        </w:rPr>
        <w:t xml:space="preserve"> </w:t>
      </w:r>
    </w:p>
    <w:p w14:paraId="2C1FFF42" w14:textId="77777777" w:rsidR="00CC5EA6" w:rsidRDefault="00CC5EA6" w:rsidP="006655F5">
      <w:pPr>
        <w:spacing w:line="240" w:lineRule="auto"/>
        <w:jc w:val="both"/>
        <w:rPr>
          <w:szCs w:val="24"/>
        </w:rPr>
      </w:pPr>
    </w:p>
    <w:p w14:paraId="6BE9AF69" w14:textId="544F2735" w:rsidR="005D070E" w:rsidRDefault="00E87563" w:rsidP="006655F5">
      <w:pPr>
        <w:spacing w:line="240" w:lineRule="auto"/>
        <w:jc w:val="right"/>
      </w:pPr>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ASF</m:t>
                </m:r>
              </m:e>
              <m:sub>
                <m:r>
                  <w:rPr>
                    <w:rFonts w:ascii="Cambria Math" w:hAnsi="Cambria Math"/>
                  </w:rPr>
                  <m:t>i</m:t>
                </m:r>
              </m:sub>
            </m:sSub>
          </m:num>
          <m:den>
            <m:nary>
              <m:naryPr>
                <m:chr m:val="∑"/>
                <m:limLoc m:val="undOvr"/>
                <m:supHide m:val="1"/>
                <m:ctrlPr>
                  <w:rPr>
                    <w:rFonts w:ascii="Cambria Math" w:hAnsi="Cambria Math"/>
                    <w:i/>
                  </w:rPr>
                </m:ctrlPr>
              </m:naryPr>
              <m:sub>
                <m:r>
                  <w:rPr>
                    <w:rFonts w:ascii="Cambria Math" w:hAnsi="Cambria Math"/>
                  </w:rPr>
                  <m:t>n</m:t>
                </m:r>
              </m:sub>
              <m:sup/>
              <m:e>
                <m:sSub>
                  <m:sSubPr>
                    <m:ctrlPr>
                      <w:rPr>
                        <w:rFonts w:ascii="Cambria Math" w:hAnsi="Cambria Math"/>
                        <w:i/>
                      </w:rPr>
                    </m:ctrlPr>
                  </m:sSubPr>
                  <m:e>
                    <m:r>
                      <w:rPr>
                        <w:rFonts w:ascii="Cambria Math" w:hAnsi="Cambria Math"/>
                      </w:rPr>
                      <m:t>I</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ASF</m:t>
                    </m:r>
                  </m:e>
                  <m:sub>
                    <m:r>
                      <w:rPr>
                        <w:rFonts w:ascii="Cambria Math" w:hAnsi="Cambria Math"/>
                      </w:rPr>
                      <m:t>i</m:t>
                    </m:r>
                  </m:sub>
                </m:sSub>
              </m:e>
            </m:nary>
          </m:den>
        </m:f>
      </m:oMath>
      <w:r w:rsidR="005D070E">
        <w:t xml:space="preserve">                                                            (</w:t>
      </w:r>
      <w:r w:rsidR="003164CC">
        <w:t>1</w:t>
      </w:r>
      <w:r w:rsidR="005D070E">
        <w:t>.1)</w:t>
      </w:r>
    </w:p>
    <w:p w14:paraId="60CF71BA" w14:textId="77777777" w:rsidR="00CC5EA6" w:rsidRDefault="00CC5EA6" w:rsidP="006655F5">
      <w:pPr>
        <w:spacing w:line="240" w:lineRule="auto"/>
        <w:jc w:val="right"/>
      </w:pPr>
    </w:p>
    <w:p w14:paraId="63A5635B" w14:textId="10CF1712" w:rsidR="00E01AF4" w:rsidRPr="006F1658" w:rsidRDefault="005D070E" w:rsidP="006655F5">
      <w:pPr>
        <w:spacing w:line="240" w:lineRule="auto"/>
        <w:jc w:val="both"/>
        <w:rPr>
          <w:szCs w:val="24"/>
        </w:rPr>
      </w:pPr>
      <w:r>
        <w:t>w</w:t>
      </w:r>
      <w:r w:rsidRPr="000F132F">
        <w:t>here</w:t>
      </w:r>
      <w:r>
        <w:t xml:space="preserve"> </w:t>
      </w:r>
      <w:r>
        <w:rPr>
          <w:i/>
          <w:iCs/>
        </w:rPr>
        <w:t>n</w:t>
      </w:r>
      <w:r>
        <w:t xml:space="preserve"> is the number of elements in the overlayer,</w:t>
      </w:r>
      <w:r w:rsidRPr="000F132F">
        <w:t xml:space="preserve"> </w:t>
      </w:r>
      <w:r>
        <w:rPr>
          <w:i/>
          <w:iCs/>
        </w:rPr>
        <w:t>I</w:t>
      </w:r>
      <w:r>
        <w:rPr>
          <w:i/>
          <w:iCs/>
          <w:vertAlign w:val="subscript"/>
        </w:rPr>
        <w:t>i</w:t>
      </w:r>
      <w:r>
        <w:rPr>
          <w:i/>
          <w:iCs/>
        </w:rPr>
        <w:t xml:space="preserve"> </w:t>
      </w:r>
      <w:r>
        <w:t xml:space="preserve">is the integrated XPS peak area for element </w:t>
      </w:r>
      <w:r>
        <w:rPr>
          <w:i/>
          <w:iCs/>
        </w:rPr>
        <w:t>I,</w:t>
      </w:r>
      <w:r>
        <w:t xml:space="preserve"> and </w:t>
      </w:r>
      <w:r>
        <w:rPr>
          <w:i/>
          <w:iCs/>
        </w:rPr>
        <w:t>ASF</w:t>
      </w:r>
      <w:r>
        <w:rPr>
          <w:i/>
          <w:iCs/>
          <w:vertAlign w:val="subscript"/>
        </w:rPr>
        <w:t>i</w:t>
      </w:r>
      <w:r>
        <w:rPr>
          <w:i/>
          <w:iCs/>
        </w:rPr>
        <w:t xml:space="preserve"> </w:t>
      </w:r>
      <w:r>
        <w:t xml:space="preserve">is the atomic sensitivity factor for element </w:t>
      </w:r>
      <w:r>
        <w:rPr>
          <w:i/>
          <w:iCs/>
        </w:rPr>
        <w:t>i</w:t>
      </w:r>
      <w:r>
        <w:t>.</w:t>
      </w:r>
      <w:r w:rsidR="008B109F">
        <w:fldChar w:fldCharType="begin" w:fldLock="1"/>
      </w:r>
      <w:r w:rsidR="008B109F">
        <w:instrText>ADDIN CSL_CITATION {"citationItems":[{"id":"ITEM-1","itemData":{"author":[{"dropping-particle":"","family":"Moulder","given":"John F.","non-dropping-particle":"","parse-names":false,"suffix":""},{"dropping-particle":"","family":"Stickle","given":"William F.","non-dropping-particle":"","parse-names":false,"suffix":""},{"dropping-particle":"","family":"Sobol","given":"Peter E.","non-dropping-particle":"","parse-names":false,"suffix":""},{"dropping-particle":"","family":"Bomben","given":"Kenneth D.","non-dropping-particle":"","parse-names":false,"suffix":""}],"editor":[{"dropping-particle":"","family":"Chastain","given":"Jill","non-dropping-particle":"","parse-names":false,"suffix":""},{"dropping-particle":"","family":"King","given":"Roger C.","non-dropping-particle":"","parse-names":false,"suffix":""}],"id":"ITEM-1","issued":{"date-parts":[["1995"]]},"publisher":"Physical Electronics, Inc.","publisher-place":"Eden Prairie, MN","title":"Handbook of X-ray Photoelectron Spectroscopy","type":"book"},"uris":["http://www.mendeley.com/documents/?uuid=ca224ba4-b2b5-45d9-b8d4-e93f63090964"]}],"mendeley":{"formattedCitation":"&lt;sup&gt;[3]&lt;/sup&gt;","plainTextFormattedCitation":"[3]","previouslyFormattedCitation":"&lt;sup&gt;[3]&lt;/sup&gt;"},"properties":{"noteIndex":0},"schema":"https://github.com/citation-style-language/schema/raw/master/csl-citation.json"}</w:instrText>
      </w:r>
      <w:r w:rsidR="008B109F">
        <w:fldChar w:fldCharType="separate"/>
      </w:r>
      <w:r w:rsidR="008B109F" w:rsidRPr="008B109F">
        <w:rPr>
          <w:noProof/>
          <w:vertAlign w:val="superscript"/>
        </w:rPr>
        <w:t>[3]</w:t>
      </w:r>
      <w:r w:rsidR="008B109F">
        <w:fldChar w:fldCharType="end"/>
      </w:r>
      <w:r>
        <w:t xml:space="preserve"> </w:t>
      </w:r>
      <w:r w:rsidR="000D5BB2">
        <w:rPr>
          <w:szCs w:val="24"/>
        </w:rPr>
        <w:t>C</w:t>
      </w:r>
      <w:r w:rsidR="00F700BE">
        <w:rPr>
          <w:szCs w:val="24"/>
        </w:rPr>
        <w:t xml:space="preserve"> </w:t>
      </w:r>
      <w:r w:rsidR="00C12E47">
        <w:rPr>
          <w:szCs w:val="24"/>
        </w:rPr>
        <w:t xml:space="preserve">1s contributions from adventitious carbonaceous adsorptions were </w:t>
      </w:r>
      <w:r w:rsidR="00C12E47">
        <w:rPr>
          <w:i/>
          <w:szCs w:val="24"/>
        </w:rPr>
        <w:t>not</w:t>
      </w:r>
      <w:r w:rsidR="00C12E47">
        <w:rPr>
          <w:szCs w:val="24"/>
        </w:rPr>
        <w:t xml:space="preserve"> subtracted from the analysis, meaning that the reported atomic % C values overestimate the amount of carbon within the SiO</w:t>
      </w:r>
      <w:r w:rsidR="00C12E47">
        <w:rPr>
          <w:szCs w:val="24"/>
          <w:vertAlign w:val="subscript"/>
        </w:rPr>
        <w:t>x</w:t>
      </w:r>
      <w:r w:rsidR="00067F3A">
        <w:rPr>
          <w:szCs w:val="24"/>
        </w:rPr>
        <w:t>C</w:t>
      </w:r>
      <w:r w:rsidR="00067F3A" w:rsidRPr="00067F3A">
        <w:rPr>
          <w:szCs w:val="24"/>
          <w:vertAlign w:val="subscript"/>
        </w:rPr>
        <w:t>y</w:t>
      </w:r>
      <w:r w:rsidR="00067F3A">
        <w:rPr>
          <w:szCs w:val="24"/>
        </w:rPr>
        <w:t xml:space="preserve"> </w:t>
      </w:r>
      <w:r w:rsidR="00C12E47">
        <w:rPr>
          <w:szCs w:val="24"/>
        </w:rPr>
        <w:t xml:space="preserve">overlayers. </w:t>
      </w:r>
      <w:bookmarkEnd w:id="7"/>
      <w:bookmarkEnd w:id="8"/>
    </w:p>
    <w:p w14:paraId="6386FAE6" w14:textId="77777777" w:rsidR="004D7E9D" w:rsidRPr="004D7E9D" w:rsidRDefault="004D7E9D" w:rsidP="004D7E9D">
      <w:pPr>
        <w:spacing w:line="240" w:lineRule="auto"/>
        <w:contextualSpacing/>
        <w:jc w:val="center"/>
        <w:rPr>
          <w:color w:val="FF0000"/>
          <w:szCs w:val="24"/>
        </w:rPr>
      </w:pPr>
    </w:p>
    <w:p w14:paraId="136C9C13" w14:textId="0A57EB55" w:rsidR="00217694" w:rsidRPr="006F1658" w:rsidRDefault="00217694" w:rsidP="006F1658">
      <w:pPr>
        <w:pStyle w:val="Heading2"/>
      </w:pPr>
      <w:bookmarkStart w:id="9" w:name="_Toc516584573"/>
      <w:bookmarkStart w:id="10" w:name="_Toc442969588"/>
      <w:bookmarkStart w:id="11" w:name="_Toc452923216"/>
      <w:bookmarkStart w:id="12" w:name="_Toc474270156"/>
      <w:bookmarkEnd w:id="1"/>
      <w:r>
        <w:lastRenderedPageBreak/>
        <w:t xml:space="preserve">2.2 XPS Characterization of </w:t>
      </w:r>
      <w:r w:rsidR="00F700BE">
        <w:t>as</w:t>
      </w:r>
      <w:r>
        <w:t>-made SiO</w:t>
      </w:r>
      <w:r w:rsidRPr="00217694">
        <w:rPr>
          <w:vertAlign w:val="subscript"/>
        </w:rPr>
        <w:t>x</w:t>
      </w:r>
      <w:r>
        <w:t>C</w:t>
      </w:r>
      <w:r w:rsidRPr="00217694">
        <w:rPr>
          <w:vertAlign w:val="subscript"/>
        </w:rPr>
        <w:t>y</w:t>
      </w:r>
      <w:r>
        <w:t>|Pt Electrodes</w:t>
      </w:r>
    </w:p>
    <w:p w14:paraId="48AC37EE" w14:textId="77777777" w:rsidR="00217694" w:rsidRPr="00903AA8" w:rsidRDefault="00217694" w:rsidP="00217694">
      <w:pPr>
        <w:jc w:val="center"/>
        <w:rPr>
          <w:sz w:val="20"/>
          <w:szCs w:val="20"/>
        </w:rPr>
      </w:pPr>
      <w:r>
        <w:rPr>
          <w:noProof/>
        </w:rPr>
        <w:drawing>
          <wp:inline distT="0" distB="0" distL="0" distR="0" wp14:anchorId="3877AEA4" wp14:editId="6273A943">
            <wp:extent cx="4933950" cy="4831686"/>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42785" cy="4840338"/>
                    </a:xfrm>
                    <a:prstGeom prst="rect">
                      <a:avLst/>
                    </a:prstGeom>
                  </pic:spPr>
                </pic:pic>
              </a:graphicData>
            </a:graphic>
          </wp:inline>
        </w:drawing>
      </w:r>
    </w:p>
    <w:p w14:paraId="11EA73B0" w14:textId="2185E8E4" w:rsidR="00217694" w:rsidRPr="00972ECA" w:rsidRDefault="00217694" w:rsidP="00217694">
      <w:pPr>
        <w:spacing w:line="240" w:lineRule="auto"/>
        <w:jc w:val="both"/>
        <w:rPr>
          <w:szCs w:val="24"/>
        </w:rPr>
      </w:pPr>
      <w:r>
        <w:rPr>
          <w:b/>
          <w:szCs w:val="24"/>
        </w:rPr>
        <w:t>Figure S</w:t>
      </w:r>
      <w:r w:rsidR="002B152B">
        <w:rPr>
          <w:b/>
          <w:szCs w:val="24"/>
        </w:rPr>
        <w:t>5</w:t>
      </w:r>
      <w:r w:rsidRPr="00972ECA">
        <w:rPr>
          <w:b/>
          <w:szCs w:val="24"/>
        </w:rPr>
        <w:t>.</w:t>
      </w:r>
      <w:r w:rsidRPr="00972ECA">
        <w:rPr>
          <w:szCs w:val="24"/>
        </w:rPr>
        <w:t xml:space="preserve"> XPS spe</w:t>
      </w:r>
      <w:r>
        <w:rPr>
          <w:szCs w:val="24"/>
        </w:rPr>
        <w:t>ctra for samples undergoing UV-o</w:t>
      </w:r>
      <w:r w:rsidRPr="00972ECA">
        <w:rPr>
          <w:szCs w:val="24"/>
        </w:rPr>
        <w:t>zone treatment from 0 min (uncured PDMS) to 120 min (fully cured SiO</w:t>
      </w:r>
      <w:r w:rsidRPr="00972ECA">
        <w:rPr>
          <w:szCs w:val="24"/>
          <w:vertAlign w:val="subscript"/>
        </w:rPr>
        <w:t>x</w:t>
      </w:r>
      <w:r w:rsidRPr="00972ECA">
        <w:rPr>
          <w:szCs w:val="24"/>
        </w:rPr>
        <w:t xml:space="preserve">). Figures depict a.) C1s spectra b.) O1s spectra c.) Si2p spectra </w:t>
      </w:r>
      <w:r w:rsidR="00174459">
        <w:rPr>
          <w:szCs w:val="24"/>
        </w:rPr>
        <w:t xml:space="preserve">and </w:t>
      </w:r>
      <w:r w:rsidRPr="00972ECA">
        <w:rPr>
          <w:szCs w:val="24"/>
        </w:rPr>
        <w:t>d.) Pt4f spectra.</w:t>
      </w:r>
      <w:r w:rsidR="00F700BE">
        <w:rPr>
          <w:szCs w:val="24"/>
        </w:rPr>
        <w:t xml:space="preserve"> The color coding used for the labels for UV-ozone cure time provided in a.) also apply to the spectra in b.)-d.). </w:t>
      </w:r>
    </w:p>
    <w:p w14:paraId="6A64F2B0" w14:textId="77777777" w:rsidR="00217694" w:rsidRDefault="00217694" w:rsidP="00217694">
      <w:pPr>
        <w:spacing w:line="240" w:lineRule="auto"/>
        <w:rPr>
          <w:b/>
          <w:color w:val="FF0000"/>
          <w:szCs w:val="24"/>
        </w:rPr>
      </w:pPr>
    </w:p>
    <w:p w14:paraId="3DBF3C47" w14:textId="77777777" w:rsidR="00217694" w:rsidRDefault="00217694" w:rsidP="00217694">
      <w:pPr>
        <w:spacing w:line="240" w:lineRule="auto"/>
        <w:rPr>
          <w:b/>
          <w:color w:val="FF0000"/>
          <w:szCs w:val="24"/>
        </w:rPr>
      </w:pPr>
    </w:p>
    <w:p w14:paraId="6C7850AC" w14:textId="77777777" w:rsidR="00217694" w:rsidRDefault="00217694" w:rsidP="00217694">
      <w:pPr>
        <w:spacing w:line="240" w:lineRule="auto"/>
        <w:rPr>
          <w:b/>
          <w:color w:val="FF0000"/>
          <w:szCs w:val="24"/>
        </w:rPr>
      </w:pPr>
    </w:p>
    <w:p w14:paraId="5EBBD15D" w14:textId="36B1CD7C" w:rsidR="00217694" w:rsidRDefault="004E6BE5" w:rsidP="00217694">
      <w:pPr>
        <w:spacing w:line="240" w:lineRule="auto"/>
        <w:jc w:val="center"/>
        <w:rPr>
          <w:b/>
          <w:color w:val="FF0000"/>
          <w:szCs w:val="24"/>
        </w:rPr>
      </w:pPr>
      <w:r>
        <w:rPr>
          <w:noProof/>
        </w:rPr>
        <w:lastRenderedPageBreak/>
        <w:drawing>
          <wp:inline distT="0" distB="0" distL="0" distR="0" wp14:anchorId="5E24DB26" wp14:editId="46F8171F">
            <wp:extent cx="4276725" cy="2743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76725" cy="2743200"/>
                    </a:xfrm>
                    <a:prstGeom prst="rect">
                      <a:avLst/>
                    </a:prstGeom>
                  </pic:spPr>
                </pic:pic>
              </a:graphicData>
            </a:graphic>
          </wp:inline>
        </w:drawing>
      </w:r>
    </w:p>
    <w:p w14:paraId="73DA1201" w14:textId="084FFE2A" w:rsidR="00907E1F" w:rsidRPr="00907E1F" w:rsidRDefault="00907E1F" w:rsidP="00217694">
      <w:pPr>
        <w:spacing w:line="240" w:lineRule="auto"/>
        <w:jc w:val="center"/>
        <w:rPr>
          <w:bCs/>
          <w:color w:val="FF0000"/>
          <w:szCs w:val="24"/>
        </w:rPr>
      </w:pPr>
    </w:p>
    <w:p w14:paraId="665BD8CA" w14:textId="7FD4B20A" w:rsidR="00217694" w:rsidRPr="00A6307D" w:rsidRDefault="00217694" w:rsidP="00217694">
      <w:pPr>
        <w:spacing w:line="240" w:lineRule="auto"/>
        <w:rPr>
          <w:szCs w:val="24"/>
        </w:rPr>
      </w:pPr>
      <w:r w:rsidRPr="004E6BE5">
        <w:rPr>
          <w:b/>
          <w:szCs w:val="24"/>
        </w:rPr>
        <w:t>Figure S</w:t>
      </w:r>
      <w:r w:rsidR="002B152B" w:rsidRPr="004E6BE5">
        <w:rPr>
          <w:b/>
          <w:szCs w:val="24"/>
        </w:rPr>
        <w:t>6</w:t>
      </w:r>
      <w:r w:rsidRPr="004E6BE5">
        <w:rPr>
          <w:b/>
          <w:szCs w:val="24"/>
        </w:rPr>
        <w:t xml:space="preserve">. </w:t>
      </w:r>
      <w:r w:rsidRPr="004E6BE5">
        <w:rPr>
          <w:szCs w:val="24"/>
        </w:rPr>
        <w:t>Atomic ratios calculated from XPS measurements of Oxygen and Carbon relative to Silicon for samples undergoing UV-ozone treatment from 0 min (uncured PDMS) to 120 min (fully cured SiO</w:t>
      </w:r>
      <w:r w:rsidRPr="004E6BE5">
        <w:rPr>
          <w:szCs w:val="24"/>
          <w:vertAlign w:val="subscript"/>
        </w:rPr>
        <w:t>x</w:t>
      </w:r>
      <w:r w:rsidRPr="004E6BE5">
        <w:rPr>
          <w:szCs w:val="24"/>
        </w:rPr>
        <w:t>).</w:t>
      </w:r>
      <w:r w:rsidR="00907E1F" w:rsidRPr="004E6BE5">
        <w:rPr>
          <w:szCs w:val="24"/>
        </w:rPr>
        <w:t xml:space="preserve"> The horizontal dashed</w:t>
      </w:r>
      <w:r w:rsidR="00027C3C">
        <w:rPr>
          <w:szCs w:val="24"/>
        </w:rPr>
        <w:t xml:space="preserve"> line represents the expected O/</w:t>
      </w:r>
      <w:r w:rsidR="00907E1F" w:rsidRPr="004E6BE5">
        <w:rPr>
          <w:szCs w:val="24"/>
        </w:rPr>
        <w:t>Si ratio in pure SiO</w:t>
      </w:r>
      <w:r w:rsidR="00907E1F" w:rsidRPr="004E6BE5">
        <w:rPr>
          <w:szCs w:val="24"/>
          <w:vertAlign w:val="subscript"/>
        </w:rPr>
        <w:t>2</w:t>
      </w:r>
      <w:r w:rsidR="00907E1F" w:rsidRPr="004E6BE5">
        <w:rPr>
          <w:szCs w:val="24"/>
        </w:rPr>
        <w:t>.</w:t>
      </w:r>
    </w:p>
    <w:p w14:paraId="6C98AED2" w14:textId="78D5E01B" w:rsidR="00217694" w:rsidRDefault="00217694" w:rsidP="00217694">
      <w:pPr>
        <w:spacing w:line="240" w:lineRule="auto"/>
        <w:rPr>
          <w:b/>
          <w:color w:val="FF0000"/>
          <w:szCs w:val="24"/>
        </w:rPr>
      </w:pPr>
    </w:p>
    <w:p w14:paraId="2A80D557" w14:textId="77777777" w:rsidR="00217694" w:rsidRDefault="00217694" w:rsidP="00217694">
      <w:pPr>
        <w:spacing w:line="360" w:lineRule="auto"/>
        <w:ind w:firstLine="720"/>
        <w:jc w:val="both"/>
        <w:rPr>
          <w:szCs w:val="24"/>
        </w:rPr>
      </w:pPr>
    </w:p>
    <w:p w14:paraId="2B8528B9" w14:textId="3373B187" w:rsidR="00217694" w:rsidRDefault="004E6BE5" w:rsidP="00217694">
      <w:pPr>
        <w:jc w:val="center"/>
        <w:rPr>
          <w:sz w:val="20"/>
          <w:szCs w:val="20"/>
        </w:rPr>
      </w:pPr>
      <w:r>
        <w:rPr>
          <w:noProof/>
        </w:rPr>
        <w:lastRenderedPageBreak/>
        <w:drawing>
          <wp:inline distT="0" distB="0" distL="0" distR="0" wp14:anchorId="786E6780" wp14:editId="1879A8C6">
            <wp:extent cx="5943600" cy="57334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733415"/>
                    </a:xfrm>
                    <a:prstGeom prst="rect">
                      <a:avLst/>
                    </a:prstGeom>
                  </pic:spPr>
                </pic:pic>
              </a:graphicData>
            </a:graphic>
          </wp:inline>
        </w:drawing>
      </w:r>
    </w:p>
    <w:p w14:paraId="2E780AF0" w14:textId="4725DD8E" w:rsidR="00217694" w:rsidRPr="008C6193" w:rsidRDefault="008E6B7D" w:rsidP="00217694">
      <w:pPr>
        <w:spacing w:line="240" w:lineRule="auto"/>
        <w:jc w:val="both"/>
        <w:rPr>
          <w:szCs w:val="24"/>
        </w:rPr>
      </w:pPr>
      <w:r w:rsidRPr="004E6BE5">
        <w:rPr>
          <w:b/>
          <w:szCs w:val="24"/>
        </w:rPr>
        <w:t>Figure S</w:t>
      </w:r>
      <w:r w:rsidR="002B152B" w:rsidRPr="004E6BE5">
        <w:rPr>
          <w:b/>
          <w:szCs w:val="24"/>
        </w:rPr>
        <w:t>7</w:t>
      </w:r>
      <w:r w:rsidR="00217694" w:rsidRPr="004E6BE5">
        <w:rPr>
          <w:szCs w:val="24"/>
        </w:rPr>
        <w:t xml:space="preserve"> Angle Resolved XPS spectra for samples undergoing UV Ozone treatment for either 30 minutes (top spectra) or 120 minutes (bottom spectra) at different </w:t>
      </w:r>
      <w:r w:rsidR="002B18EB" w:rsidRPr="004E6BE5">
        <w:rPr>
          <w:szCs w:val="24"/>
        </w:rPr>
        <w:t xml:space="preserve">emission </w:t>
      </w:r>
      <w:r w:rsidR="00217694" w:rsidRPr="004E6BE5">
        <w:rPr>
          <w:szCs w:val="24"/>
        </w:rPr>
        <w:t xml:space="preserve">angles (70°, 40°, 10°), measured </w:t>
      </w:r>
      <w:r w:rsidR="00EA60FA" w:rsidRPr="004E6BE5">
        <w:rPr>
          <w:szCs w:val="24"/>
        </w:rPr>
        <w:t>between</w:t>
      </w:r>
      <w:r w:rsidR="00217694" w:rsidRPr="004E6BE5">
        <w:rPr>
          <w:szCs w:val="24"/>
        </w:rPr>
        <w:t xml:space="preserve"> the detector</w:t>
      </w:r>
      <w:r w:rsidR="00EA60FA" w:rsidRPr="004E6BE5">
        <w:rPr>
          <w:szCs w:val="24"/>
        </w:rPr>
        <w:t xml:space="preserve"> and the surface normal of the sample</w:t>
      </w:r>
      <w:r w:rsidR="00217694" w:rsidRPr="004E6BE5">
        <w:rPr>
          <w:szCs w:val="24"/>
        </w:rPr>
        <w:t>. Figures depict a.) C</w:t>
      </w:r>
      <w:r w:rsidR="002B18EB" w:rsidRPr="004E6BE5">
        <w:rPr>
          <w:szCs w:val="24"/>
        </w:rPr>
        <w:t xml:space="preserve"> </w:t>
      </w:r>
      <w:r w:rsidR="00217694" w:rsidRPr="004E6BE5">
        <w:rPr>
          <w:szCs w:val="24"/>
        </w:rPr>
        <w:t>1s spectra b.) O</w:t>
      </w:r>
      <w:r w:rsidR="002B18EB" w:rsidRPr="004E6BE5">
        <w:rPr>
          <w:szCs w:val="24"/>
        </w:rPr>
        <w:t xml:space="preserve"> </w:t>
      </w:r>
      <w:r w:rsidR="00217694" w:rsidRPr="004E6BE5">
        <w:rPr>
          <w:szCs w:val="24"/>
        </w:rPr>
        <w:t>1s spectra c.) Si</w:t>
      </w:r>
      <w:r w:rsidR="002B18EB" w:rsidRPr="004E6BE5">
        <w:rPr>
          <w:szCs w:val="24"/>
        </w:rPr>
        <w:t xml:space="preserve"> </w:t>
      </w:r>
      <w:r w:rsidR="00217694" w:rsidRPr="004E6BE5">
        <w:rPr>
          <w:szCs w:val="24"/>
        </w:rPr>
        <w:t xml:space="preserve">2p spectra </w:t>
      </w:r>
      <w:r w:rsidR="00174459">
        <w:rPr>
          <w:szCs w:val="24"/>
        </w:rPr>
        <w:t xml:space="preserve">and </w:t>
      </w:r>
      <w:r w:rsidR="00217694" w:rsidRPr="004E6BE5">
        <w:rPr>
          <w:szCs w:val="24"/>
        </w:rPr>
        <w:t>d.) Pt</w:t>
      </w:r>
      <w:r w:rsidR="002B18EB" w:rsidRPr="004E6BE5">
        <w:rPr>
          <w:szCs w:val="24"/>
        </w:rPr>
        <w:t xml:space="preserve"> </w:t>
      </w:r>
      <w:r w:rsidR="00217694" w:rsidRPr="004E6BE5">
        <w:rPr>
          <w:szCs w:val="24"/>
        </w:rPr>
        <w:t>4f spectra.</w:t>
      </w:r>
    </w:p>
    <w:p w14:paraId="4E4868D6" w14:textId="77777777" w:rsidR="00217694" w:rsidRDefault="00217694" w:rsidP="00217694">
      <w:pPr>
        <w:spacing w:line="240" w:lineRule="auto"/>
        <w:rPr>
          <w:b/>
          <w:color w:val="FF0000"/>
          <w:szCs w:val="24"/>
        </w:rPr>
      </w:pPr>
    </w:p>
    <w:p w14:paraId="4AEAB6CE" w14:textId="77777777" w:rsidR="00217694" w:rsidRDefault="00217694" w:rsidP="00217694">
      <w:pPr>
        <w:spacing w:line="240" w:lineRule="auto"/>
        <w:rPr>
          <w:b/>
          <w:color w:val="FF0000"/>
          <w:szCs w:val="24"/>
        </w:rPr>
      </w:pPr>
    </w:p>
    <w:p w14:paraId="36AF9E3B" w14:textId="77777777" w:rsidR="00217694" w:rsidRPr="001C33F8" w:rsidRDefault="00217694" w:rsidP="00217694">
      <w:pPr>
        <w:spacing w:line="240" w:lineRule="auto"/>
        <w:rPr>
          <w:b/>
          <w:color w:val="FF0000"/>
          <w:szCs w:val="24"/>
        </w:rPr>
      </w:pPr>
    </w:p>
    <w:p w14:paraId="0A560B36" w14:textId="77777777" w:rsidR="00217694" w:rsidRPr="001C33F8" w:rsidRDefault="00217694" w:rsidP="00217694">
      <w:pPr>
        <w:spacing w:line="240" w:lineRule="auto"/>
        <w:jc w:val="center"/>
        <w:rPr>
          <w:b/>
          <w:color w:val="FF0000"/>
          <w:szCs w:val="24"/>
        </w:rPr>
      </w:pPr>
    </w:p>
    <w:p w14:paraId="21F8DEED" w14:textId="0138FFF3" w:rsidR="00217694" w:rsidRPr="00463997" w:rsidRDefault="005D070E" w:rsidP="00217694">
      <w:pPr>
        <w:jc w:val="center"/>
        <w:rPr>
          <w:sz w:val="20"/>
          <w:szCs w:val="20"/>
        </w:rPr>
      </w:pPr>
      <w:r>
        <w:rPr>
          <w:noProof/>
        </w:rPr>
        <w:lastRenderedPageBreak/>
        <w:drawing>
          <wp:inline distT="0" distB="0" distL="0" distR="0" wp14:anchorId="02BFAF99" wp14:editId="43F3B1B9">
            <wp:extent cx="5943600" cy="25393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539365"/>
                    </a:xfrm>
                    <a:prstGeom prst="rect">
                      <a:avLst/>
                    </a:prstGeom>
                  </pic:spPr>
                </pic:pic>
              </a:graphicData>
            </a:graphic>
          </wp:inline>
        </w:drawing>
      </w:r>
    </w:p>
    <w:p w14:paraId="638CE870" w14:textId="25704026" w:rsidR="00217694" w:rsidRPr="00B34E26" w:rsidRDefault="008E6B7D" w:rsidP="00217694">
      <w:pPr>
        <w:spacing w:line="240" w:lineRule="auto"/>
        <w:jc w:val="both"/>
        <w:rPr>
          <w:szCs w:val="24"/>
        </w:rPr>
      </w:pPr>
      <w:r w:rsidRPr="0084009F">
        <w:rPr>
          <w:b/>
          <w:szCs w:val="24"/>
        </w:rPr>
        <w:t>Figure S</w:t>
      </w:r>
      <w:r w:rsidR="002B152B" w:rsidRPr="0084009F">
        <w:rPr>
          <w:b/>
          <w:szCs w:val="24"/>
        </w:rPr>
        <w:t>8</w:t>
      </w:r>
      <w:r w:rsidR="00217694" w:rsidRPr="0084009F">
        <w:rPr>
          <w:szCs w:val="24"/>
        </w:rPr>
        <w:t xml:space="preserve"> Atomic percent compositions </w:t>
      </w:r>
      <w:r w:rsidR="0077345C">
        <w:rPr>
          <w:szCs w:val="24"/>
        </w:rPr>
        <w:t>of as-made SiO</w:t>
      </w:r>
      <w:r w:rsidR="0077345C">
        <w:rPr>
          <w:szCs w:val="24"/>
          <w:vertAlign w:val="subscript"/>
        </w:rPr>
        <w:t>x</w:t>
      </w:r>
      <w:r w:rsidR="0077345C">
        <w:rPr>
          <w:szCs w:val="24"/>
        </w:rPr>
        <w:t>C</w:t>
      </w:r>
      <w:r w:rsidR="0077345C">
        <w:rPr>
          <w:szCs w:val="24"/>
          <w:vertAlign w:val="subscript"/>
        </w:rPr>
        <w:t>y</w:t>
      </w:r>
      <w:r w:rsidR="0077345C">
        <w:rPr>
          <w:szCs w:val="24"/>
        </w:rPr>
        <w:t xml:space="preserve">|Pt electrodes </w:t>
      </w:r>
      <w:r w:rsidR="00217694" w:rsidRPr="0084009F">
        <w:rPr>
          <w:szCs w:val="24"/>
        </w:rPr>
        <w:t>calculated from ARXPS spectra, plotted for different emission angles</w:t>
      </w:r>
      <w:r w:rsidR="00F71EB1">
        <w:rPr>
          <w:szCs w:val="24"/>
        </w:rPr>
        <w:t xml:space="preserve"> (</w:t>
      </w:r>
      <w:r w:rsidR="00F71EB1" w:rsidRPr="00CC5EA6">
        <w:rPr>
          <w:i/>
          <w:szCs w:val="24"/>
        </w:rPr>
        <w:t>θ</w:t>
      </w:r>
      <w:r w:rsidR="00F71EB1">
        <w:rPr>
          <w:szCs w:val="24"/>
        </w:rPr>
        <w:t>)</w:t>
      </w:r>
      <w:r w:rsidR="00217694" w:rsidRPr="0084009F">
        <w:rPr>
          <w:szCs w:val="24"/>
        </w:rPr>
        <w:t xml:space="preserve">, for </w:t>
      </w:r>
      <w:r w:rsidR="005D070E" w:rsidRPr="0084009F">
        <w:rPr>
          <w:szCs w:val="24"/>
        </w:rPr>
        <w:t>partially cured (t</w:t>
      </w:r>
      <w:r w:rsidR="005D070E" w:rsidRPr="0084009F">
        <w:rPr>
          <w:szCs w:val="24"/>
          <w:vertAlign w:val="subscript"/>
        </w:rPr>
        <w:t>cure</w:t>
      </w:r>
      <w:r w:rsidR="005D070E" w:rsidRPr="0084009F">
        <w:rPr>
          <w:szCs w:val="24"/>
        </w:rPr>
        <w:t xml:space="preserve"> = 30 min) </w:t>
      </w:r>
      <w:r w:rsidR="005D070E">
        <w:rPr>
          <w:szCs w:val="24"/>
        </w:rPr>
        <w:t xml:space="preserve">and </w:t>
      </w:r>
      <w:r w:rsidR="00217694" w:rsidRPr="0084009F">
        <w:rPr>
          <w:szCs w:val="24"/>
        </w:rPr>
        <w:t>fully cured (t</w:t>
      </w:r>
      <w:r w:rsidR="00217694" w:rsidRPr="0084009F">
        <w:rPr>
          <w:szCs w:val="24"/>
          <w:vertAlign w:val="subscript"/>
        </w:rPr>
        <w:t>cure</w:t>
      </w:r>
      <w:r w:rsidR="00217694" w:rsidRPr="0084009F">
        <w:rPr>
          <w:szCs w:val="24"/>
        </w:rPr>
        <w:t xml:space="preserve"> = 120 min) SiO</w:t>
      </w:r>
      <w:r w:rsidR="00217694" w:rsidRPr="0084009F">
        <w:rPr>
          <w:szCs w:val="24"/>
          <w:vertAlign w:val="subscript"/>
        </w:rPr>
        <w:t>x</w:t>
      </w:r>
      <w:r w:rsidR="00217694" w:rsidRPr="0084009F">
        <w:rPr>
          <w:szCs w:val="24"/>
        </w:rPr>
        <w:t>C</w:t>
      </w:r>
      <w:r w:rsidR="00217694" w:rsidRPr="0084009F">
        <w:rPr>
          <w:szCs w:val="24"/>
          <w:vertAlign w:val="subscript"/>
        </w:rPr>
        <w:t>y</w:t>
      </w:r>
      <w:r w:rsidR="00217694" w:rsidRPr="0084009F">
        <w:rPr>
          <w:szCs w:val="24"/>
        </w:rPr>
        <w:t xml:space="preserve"> overlayers.</w:t>
      </w:r>
      <w:r w:rsidR="00217694" w:rsidRPr="00B34E26">
        <w:rPr>
          <w:szCs w:val="24"/>
        </w:rPr>
        <w:t xml:space="preserve">  </w:t>
      </w:r>
      <w:r w:rsidR="00F71EB1">
        <w:rPr>
          <w:szCs w:val="24"/>
        </w:rPr>
        <w:t xml:space="preserve">The emission angle is the angle </w:t>
      </w:r>
      <w:r w:rsidR="00F71EB1" w:rsidRPr="004E6BE5">
        <w:rPr>
          <w:szCs w:val="24"/>
        </w:rPr>
        <w:t>between the detector and the surface normal of the sample</w:t>
      </w:r>
      <w:r w:rsidR="00F71EB1">
        <w:rPr>
          <w:szCs w:val="24"/>
        </w:rPr>
        <w:t>.</w:t>
      </w:r>
    </w:p>
    <w:p w14:paraId="4003724E" w14:textId="77777777" w:rsidR="00217694" w:rsidRDefault="00217694" w:rsidP="00217694">
      <w:pPr>
        <w:spacing w:line="240" w:lineRule="auto"/>
        <w:rPr>
          <w:b/>
          <w:color w:val="FF0000"/>
          <w:szCs w:val="24"/>
        </w:rPr>
      </w:pPr>
    </w:p>
    <w:p w14:paraId="1785FC5E" w14:textId="77777777" w:rsidR="00217694" w:rsidRPr="00217694" w:rsidRDefault="00217694" w:rsidP="00217694"/>
    <w:p w14:paraId="18B03BED" w14:textId="4DD016E0" w:rsidR="005264D8" w:rsidRPr="005264D8" w:rsidRDefault="00217694" w:rsidP="009C19A2">
      <w:pPr>
        <w:pStyle w:val="Heading1"/>
      </w:pPr>
      <w:r>
        <w:t>Description of Overlayer Density Calculations</w:t>
      </w:r>
    </w:p>
    <w:p w14:paraId="5C05A812" w14:textId="7D3B76C0" w:rsidR="00217694" w:rsidRPr="000F132F" w:rsidRDefault="00B84210" w:rsidP="006655F5">
      <w:pPr>
        <w:spacing w:line="240" w:lineRule="auto"/>
        <w:jc w:val="both"/>
      </w:pPr>
      <w:r>
        <w:t>The gravimetric densities of</w:t>
      </w:r>
      <w:r w:rsidR="00217694" w:rsidRPr="000F132F">
        <w:t xml:space="preserve"> </w:t>
      </w:r>
      <w:r>
        <w:t>SiO</w:t>
      </w:r>
      <w:r>
        <w:rPr>
          <w:vertAlign w:val="subscript"/>
        </w:rPr>
        <w:t>x</w:t>
      </w:r>
      <w:r>
        <w:t>C</w:t>
      </w:r>
      <w:r>
        <w:rPr>
          <w:vertAlign w:val="subscript"/>
        </w:rPr>
        <w:t>y</w:t>
      </w:r>
      <w:r>
        <w:t xml:space="preserve"> overlayers</w:t>
      </w:r>
      <w:r w:rsidR="00217694" w:rsidRPr="000F132F">
        <w:t xml:space="preserve"> were </w:t>
      </w:r>
      <w:r>
        <w:t xml:space="preserve">estimated based on i.) the initial and final overlayer thicknesses measured by ellipsometry and ii.)  the average </w:t>
      </w:r>
      <w:r w:rsidR="00154360">
        <w:t xml:space="preserve">atomic </w:t>
      </w:r>
      <w:r>
        <w:t>co</w:t>
      </w:r>
      <w:r w:rsidR="00113C6B">
        <w:t>mposition</w:t>
      </w:r>
      <w:r w:rsidR="00217694" w:rsidRPr="000F132F">
        <w:t xml:space="preserve"> </w:t>
      </w:r>
      <w:r>
        <w:t xml:space="preserve">of each overlayer measured by </w:t>
      </w:r>
      <w:r w:rsidR="00217694" w:rsidRPr="000F132F">
        <w:t>XPS</w:t>
      </w:r>
      <w:r w:rsidR="00C35EB6">
        <w:t xml:space="preserve"> using an emission angle </w:t>
      </w:r>
      <w:r w:rsidR="00C35EB6" w:rsidRPr="00CE0837">
        <w:t xml:space="preserve">of </w:t>
      </w:r>
      <w:r w:rsidR="00C35EB6" w:rsidRPr="00CC5EA6">
        <w:rPr>
          <w:i/>
        </w:rPr>
        <w:t>θ</w:t>
      </w:r>
      <w:r w:rsidR="00C35EB6" w:rsidRPr="00CC5EA6">
        <w:rPr>
          <w:i/>
          <w:vertAlign w:val="subscript"/>
        </w:rPr>
        <w:t>E</w:t>
      </w:r>
      <w:r w:rsidR="00C35EB6" w:rsidRPr="00CE0837">
        <w:rPr>
          <w:vertAlign w:val="subscript"/>
        </w:rPr>
        <w:t xml:space="preserve"> </w:t>
      </w:r>
      <w:r w:rsidR="00C35EB6" w:rsidRPr="00CE0837">
        <w:t xml:space="preserve">= </w:t>
      </w:r>
      <w:r w:rsidR="00CE0837" w:rsidRPr="00CE0837">
        <w:t>54.7°</w:t>
      </w:r>
      <w:r w:rsidR="00217694" w:rsidRPr="000F132F">
        <w:t xml:space="preserve"> (described above)</w:t>
      </w:r>
      <w:r w:rsidR="00C35EB6">
        <w:t xml:space="preserve">. </w:t>
      </w:r>
      <w:r w:rsidR="00154360">
        <w:t xml:space="preserve">The atomic </w:t>
      </w:r>
      <w:r w:rsidR="00113C6B">
        <w:t>percentage</w:t>
      </w:r>
      <w:r w:rsidR="00154360">
        <w:t xml:space="preserve"> (</w:t>
      </w:r>
      <w:r w:rsidR="00113C6B" w:rsidRPr="00CC5EA6">
        <w:rPr>
          <w:i/>
        </w:rPr>
        <w:t>a</w:t>
      </w:r>
      <w:r w:rsidR="00154360" w:rsidRPr="00CC5EA6">
        <w:rPr>
          <w:i/>
          <w:vertAlign w:val="subscript"/>
        </w:rPr>
        <w:t>i</w:t>
      </w:r>
      <w:r w:rsidR="00154360">
        <w:t xml:space="preserve">) of each element </w:t>
      </w:r>
      <w:r w:rsidR="00154360">
        <w:rPr>
          <w:i/>
          <w:iCs/>
        </w:rPr>
        <w:t>i</w:t>
      </w:r>
      <w:r w:rsidR="00154360">
        <w:t xml:space="preserve"> in the overlayer (</w:t>
      </w:r>
      <w:r w:rsidR="00154360">
        <w:rPr>
          <w:i/>
          <w:iCs/>
        </w:rPr>
        <w:t xml:space="preserve">i </w:t>
      </w:r>
      <w:r w:rsidR="00154360">
        <w:t xml:space="preserve">=C 1s, O 1s, </w:t>
      </w:r>
      <w:r w:rsidR="0031471A">
        <w:t xml:space="preserve">or </w:t>
      </w:r>
      <w:r w:rsidR="00154360">
        <w:t xml:space="preserve">Si 2p) was </w:t>
      </w:r>
      <w:r w:rsidR="005D070E">
        <w:t xml:space="preserve">calculated following the protocol outlined in section II using Equation </w:t>
      </w:r>
      <w:r w:rsidR="003164CC">
        <w:t>1</w:t>
      </w:r>
      <w:r w:rsidR="00C35EB6">
        <w:t>.1</w:t>
      </w:r>
      <w:r w:rsidR="005D070E">
        <w:t>. This calculation</w:t>
      </w:r>
      <w:r w:rsidR="00113C6B">
        <w:t xml:space="preserve"> differs from the analysis described in ESI section 2.1 in that Pt 4f contributions were omitted</w:t>
      </w:r>
      <w:r w:rsidR="005D070E">
        <w:t xml:space="preserve"> to provide atomic distributions for species in the overlayer only</w:t>
      </w:r>
      <w:r w:rsidR="00113C6B">
        <w:t>. It should also be noted that this</w:t>
      </w:r>
      <w:r w:rsidR="00C35EB6">
        <w:t xml:space="preserve"> analysis ignores gradients in composition that exist within the overlayers. </w:t>
      </w:r>
      <w:r w:rsidR="00217694">
        <w:t>A</w:t>
      </w:r>
      <w:r w:rsidR="00217694" w:rsidRPr="000F132F">
        <w:t xml:space="preserve">tomic </w:t>
      </w:r>
      <w:r w:rsidR="00113C6B">
        <w:t xml:space="preserve">compositions </w:t>
      </w:r>
      <w:r w:rsidR="00217694">
        <w:t xml:space="preserve">were then converted to </w:t>
      </w:r>
      <w:r w:rsidR="00217694" w:rsidRPr="000F132F">
        <w:t>mass fraction</w:t>
      </w:r>
      <w:r w:rsidR="00217694">
        <w:t>s</w:t>
      </w:r>
      <w:r w:rsidR="00113C6B">
        <w:t xml:space="preserve"> (</w:t>
      </w:r>
      <w:r w:rsidR="00113C6B">
        <w:rPr>
          <w:i/>
          <w:iCs/>
        </w:rPr>
        <w:t>m</w:t>
      </w:r>
      <w:r w:rsidR="00113C6B">
        <w:rPr>
          <w:i/>
          <w:iCs/>
          <w:vertAlign w:val="subscript"/>
        </w:rPr>
        <w:t>i</w:t>
      </w:r>
      <w:r w:rsidR="00113C6B">
        <w:t>)</w:t>
      </w:r>
      <w:r w:rsidR="00217694" w:rsidRPr="000F132F">
        <w:t xml:space="preserve"> </w:t>
      </w:r>
      <w:r w:rsidR="005D070E">
        <w:t xml:space="preserve">according to Equation </w:t>
      </w:r>
      <w:r w:rsidR="003164CC">
        <w:t>2</w:t>
      </w:r>
      <w:r w:rsidR="005D070E">
        <w:t>.1</w:t>
      </w:r>
      <w:r w:rsidR="00113C6B">
        <w:t>:</w:t>
      </w:r>
    </w:p>
    <w:p w14:paraId="600D90DB" w14:textId="77777777" w:rsidR="00217694" w:rsidRPr="000F132F" w:rsidRDefault="00217694" w:rsidP="006655F5">
      <w:pPr>
        <w:spacing w:line="240" w:lineRule="auto"/>
        <w:jc w:val="both"/>
      </w:pPr>
    </w:p>
    <w:p w14:paraId="037B04FE" w14:textId="41B0F3E7" w:rsidR="00217694" w:rsidRDefault="00E87563" w:rsidP="006655F5">
      <w:pPr>
        <w:spacing w:line="240" w:lineRule="auto"/>
        <w:jc w:val="right"/>
      </w:pPr>
      <m:oMath>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MW</m:t>
                </m:r>
              </m:e>
              <m:sub>
                <m:r>
                  <w:rPr>
                    <w:rFonts w:ascii="Cambria Math" w:hAnsi="Cambria Math"/>
                  </w:rPr>
                  <m:t>i</m:t>
                </m:r>
              </m:sub>
            </m:sSub>
          </m:num>
          <m:den>
            <m:nary>
              <m:naryPr>
                <m:chr m:val="∑"/>
                <m:limLoc m:val="undOvr"/>
                <m:supHide m:val="1"/>
                <m:ctrlPr>
                  <w:rPr>
                    <w:rFonts w:ascii="Cambria Math" w:hAnsi="Cambria Math"/>
                    <w:i/>
                  </w:rPr>
                </m:ctrlPr>
              </m:naryPr>
              <m:sub>
                <m:r>
                  <w:rPr>
                    <w:rFonts w:ascii="Cambria Math" w:hAnsi="Cambria Math"/>
                  </w:rPr>
                  <m:t>n</m:t>
                </m:r>
              </m:sub>
              <m:sup/>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MW</m:t>
                    </m:r>
                  </m:e>
                  <m:sub>
                    <m:r>
                      <w:rPr>
                        <w:rFonts w:ascii="Cambria Math" w:hAnsi="Cambria Math"/>
                      </w:rPr>
                      <m:t>i</m:t>
                    </m:r>
                  </m:sub>
                </m:sSub>
              </m:e>
            </m:nary>
          </m:den>
        </m:f>
      </m:oMath>
      <w:r w:rsidR="00217694">
        <w:t xml:space="preserve"> </w:t>
      </w:r>
      <w:r w:rsidR="00C35EB6">
        <w:tab/>
      </w:r>
      <w:r w:rsidR="00C35EB6">
        <w:tab/>
      </w:r>
      <w:r w:rsidR="00C35EB6">
        <w:tab/>
      </w:r>
      <w:r w:rsidR="00C35EB6">
        <w:tab/>
      </w:r>
      <w:r w:rsidR="00C35EB6">
        <w:tab/>
      </w:r>
      <w:r w:rsidR="005D070E">
        <w:t>(</w:t>
      </w:r>
      <w:r w:rsidR="003164CC">
        <w:t>2</w:t>
      </w:r>
      <w:r w:rsidR="005D070E">
        <w:t>.1</w:t>
      </w:r>
      <w:r w:rsidR="00217694">
        <w:t>)</w:t>
      </w:r>
    </w:p>
    <w:p w14:paraId="217B392D" w14:textId="77777777" w:rsidR="00217694" w:rsidRPr="00546306" w:rsidRDefault="00217694" w:rsidP="006655F5">
      <w:pPr>
        <w:spacing w:line="240" w:lineRule="auto"/>
        <w:jc w:val="center"/>
      </w:pPr>
    </w:p>
    <w:p w14:paraId="0F4D2FF8" w14:textId="36959548" w:rsidR="00217694" w:rsidRPr="000F132F" w:rsidRDefault="00113C6B" w:rsidP="006655F5">
      <w:pPr>
        <w:spacing w:line="240" w:lineRule="auto"/>
        <w:contextualSpacing/>
        <w:jc w:val="both"/>
        <w:rPr>
          <w:szCs w:val="24"/>
        </w:rPr>
      </w:pPr>
      <w:r>
        <w:rPr>
          <w:szCs w:val="24"/>
        </w:rPr>
        <w:t xml:space="preserve">where </w:t>
      </w:r>
      <w:r w:rsidR="0031471A">
        <w:rPr>
          <w:i/>
          <w:szCs w:val="24"/>
        </w:rPr>
        <w:t>MW</w:t>
      </w:r>
      <w:r w:rsidR="00217694" w:rsidRPr="00546306">
        <w:rPr>
          <w:i/>
          <w:szCs w:val="24"/>
          <w:vertAlign w:val="subscript"/>
        </w:rPr>
        <w:t>i</w:t>
      </w:r>
      <w:r w:rsidR="00217694">
        <w:rPr>
          <w:szCs w:val="24"/>
        </w:rPr>
        <w:t xml:space="preserve"> is the </w:t>
      </w:r>
      <w:r w:rsidR="0031471A">
        <w:rPr>
          <w:szCs w:val="24"/>
        </w:rPr>
        <w:t xml:space="preserve">molecular weight of element </w:t>
      </w:r>
      <w:r w:rsidR="0031471A">
        <w:rPr>
          <w:i/>
          <w:iCs/>
          <w:szCs w:val="24"/>
        </w:rPr>
        <w:t>i</w:t>
      </w:r>
      <w:r w:rsidR="00217694">
        <w:rPr>
          <w:szCs w:val="24"/>
        </w:rPr>
        <w:t xml:space="preserve"> in g mol</w:t>
      </w:r>
      <w:r w:rsidR="00217694" w:rsidRPr="00546306">
        <w:rPr>
          <w:szCs w:val="24"/>
          <w:vertAlign w:val="superscript"/>
        </w:rPr>
        <w:t>-1</w:t>
      </w:r>
      <w:r w:rsidR="00217694">
        <w:rPr>
          <w:szCs w:val="24"/>
        </w:rPr>
        <w:t xml:space="preserve">. </w:t>
      </w:r>
      <w:r w:rsidR="0031471A">
        <w:rPr>
          <w:szCs w:val="24"/>
        </w:rPr>
        <w:t xml:space="preserve">Next, we assume that all Si atoms remain conserved during the </w:t>
      </w:r>
      <w:r w:rsidR="00217694" w:rsidRPr="000F132F">
        <w:rPr>
          <w:szCs w:val="24"/>
        </w:rPr>
        <w:t xml:space="preserve">UV-ozone </w:t>
      </w:r>
      <w:r w:rsidR="0031471A">
        <w:rPr>
          <w:szCs w:val="24"/>
        </w:rPr>
        <w:t xml:space="preserve">conversion </w:t>
      </w:r>
      <w:r w:rsidR="00217694" w:rsidRPr="000F132F">
        <w:rPr>
          <w:szCs w:val="24"/>
        </w:rPr>
        <w:t>process</w:t>
      </w:r>
      <w:r w:rsidR="0031471A">
        <w:rPr>
          <w:szCs w:val="24"/>
        </w:rPr>
        <w:t xml:space="preserve"> (i.e. Si atoms in PDMS are only converted to SiO</w:t>
      </w:r>
      <w:r w:rsidR="0031471A">
        <w:rPr>
          <w:szCs w:val="24"/>
          <w:vertAlign w:val="subscript"/>
        </w:rPr>
        <w:t>x</w:t>
      </w:r>
      <w:r w:rsidR="0031471A">
        <w:rPr>
          <w:szCs w:val="24"/>
        </w:rPr>
        <w:t xml:space="preserve"> species and not volatilized), meaning </w:t>
      </w:r>
      <w:r w:rsidR="00217694" w:rsidRPr="000F132F">
        <w:rPr>
          <w:szCs w:val="24"/>
        </w:rPr>
        <w:t xml:space="preserve">that the total mass of Si in the </w:t>
      </w:r>
      <w:r w:rsidR="0031471A">
        <w:rPr>
          <w:szCs w:val="24"/>
        </w:rPr>
        <w:t>overlayer</w:t>
      </w:r>
      <w:r w:rsidR="00217694" w:rsidRPr="000F132F">
        <w:rPr>
          <w:szCs w:val="24"/>
        </w:rPr>
        <w:t xml:space="preserve"> </w:t>
      </w:r>
      <w:r w:rsidR="00217694">
        <w:rPr>
          <w:szCs w:val="24"/>
        </w:rPr>
        <w:t>does</w:t>
      </w:r>
      <w:r w:rsidR="00217694" w:rsidRPr="000F132F">
        <w:rPr>
          <w:szCs w:val="24"/>
        </w:rPr>
        <w:t xml:space="preserve"> not chang</w:t>
      </w:r>
      <w:r w:rsidR="00217694">
        <w:rPr>
          <w:szCs w:val="24"/>
        </w:rPr>
        <w:t>e with cure</w:t>
      </w:r>
      <w:r w:rsidR="00217694" w:rsidRPr="000F132F">
        <w:rPr>
          <w:szCs w:val="24"/>
        </w:rPr>
        <w:t xml:space="preserve"> time</w:t>
      </w:r>
      <w:r w:rsidR="00C62928">
        <w:rPr>
          <w:szCs w:val="24"/>
        </w:rPr>
        <w:t>:</w:t>
      </w:r>
    </w:p>
    <w:p w14:paraId="1F35EE8C" w14:textId="77777777" w:rsidR="00217694" w:rsidRPr="000F132F" w:rsidRDefault="00217694" w:rsidP="006655F5">
      <w:pPr>
        <w:spacing w:line="240" w:lineRule="auto"/>
        <w:contextualSpacing/>
        <w:jc w:val="both"/>
        <w:rPr>
          <w:szCs w:val="24"/>
        </w:rPr>
      </w:pPr>
    </w:p>
    <w:p w14:paraId="730D4633" w14:textId="6EF3EA32" w:rsidR="00217694" w:rsidRDefault="00E87563" w:rsidP="006655F5">
      <w:pPr>
        <w:spacing w:line="240" w:lineRule="auto"/>
        <w:contextualSpacing/>
        <w:jc w:val="right"/>
        <w:rPr>
          <w:szCs w:val="24"/>
        </w:rPr>
      </w:pPr>
      <m:oMath>
        <m:sSub>
          <m:sSubPr>
            <m:ctrlPr>
              <w:rPr>
                <w:rFonts w:ascii="Cambria Math" w:hAnsi="Cambria Math"/>
                <w:i/>
                <w:szCs w:val="24"/>
              </w:rPr>
            </m:ctrlPr>
          </m:sSubPr>
          <m:e>
            <m:r>
              <w:rPr>
                <w:rFonts w:ascii="Cambria Math" w:hAnsi="Cambria Math"/>
                <w:szCs w:val="24"/>
              </w:rPr>
              <m:t>m</m:t>
            </m:r>
          </m:e>
          <m:sub>
            <m:r>
              <w:rPr>
                <w:rFonts w:ascii="Cambria Math" w:hAnsi="Cambria Math"/>
                <w:szCs w:val="24"/>
              </w:rPr>
              <m:t>Si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M</m:t>
            </m:r>
          </m:e>
          <m:sub>
            <m:r>
              <w:rPr>
                <w:rFonts w:ascii="Cambria Math" w:hAnsi="Cambria Math"/>
                <w:szCs w:val="24"/>
              </w:rPr>
              <m:t xml:space="preserve">o </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m</m:t>
            </m:r>
          </m:e>
          <m:sub>
            <m:r>
              <w:rPr>
                <w:rFonts w:ascii="Cambria Math" w:hAnsi="Cambria Math"/>
                <w:szCs w:val="24"/>
              </w:rPr>
              <m:t>Si,  0</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M</m:t>
            </m:r>
          </m:e>
          <m:sub>
            <m:r>
              <w:rPr>
                <w:rFonts w:ascii="Cambria Math" w:hAnsi="Cambria Math"/>
                <w:szCs w:val="24"/>
              </w:rPr>
              <m:t>o,t</m:t>
            </m:r>
          </m:sub>
        </m:sSub>
      </m:oMath>
      <w:r w:rsidR="00217694">
        <w:rPr>
          <w:szCs w:val="24"/>
        </w:rPr>
        <w:t xml:space="preserve"> </w:t>
      </w:r>
      <w:r w:rsidR="00C35EB6">
        <w:rPr>
          <w:szCs w:val="24"/>
        </w:rPr>
        <w:tab/>
      </w:r>
      <w:r w:rsidR="00C35EB6">
        <w:rPr>
          <w:szCs w:val="24"/>
        </w:rPr>
        <w:tab/>
      </w:r>
      <w:r w:rsidR="00C35EB6">
        <w:rPr>
          <w:szCs w:val="24"/>
        </w:rPr>
        <w:tab/>
      </w:r>
      <w:r w:rsidR="00C35EB6">
        <w:rPr>
          <w:szCs w:val="24"/>
        </w:rPr>
        <w:tab/>
      </w:r>
      <w:r w:rsidR="005D070E">
        <w:rPr>
          <w:szCs w:val="24"/>
        </w:rPr>
        <w:t>(</w:t>
      </w:r>
      <w:r w:rsidR="003164CC">
        <w:rPr>
          <w:szCs w:val="24"/>
        </w:rPr>
        <w:t>2</w:t>
      </w:r>
      <w:r w:rsidR="005D070E">
        <w:rPr>
          <w:szCs w:val="24"/>
        </w:rPr>
        <w:t>.2</w:t>
      </w:r>
      <w:r w:rsidR="00217694">
        <w:rPr>
          <w:szCs w:val="24"/>
        </w:rPr>
        <w:t>)</w:t>
      </w:r>
    </w:p>
    <w:p w14:paraId="3A49312E" w14:textId="77777777" w:rsidR="00C67838" w:rsidRDefault="00C67838" w:rsidP="006655F5">
      <w:pPr>
        <w:spacing w:line="240" w:lineRule="auto"/>
        <w:contextualSpacing/>
        <w:jc w:val="right"/>
        <w:rPr>
          <w:szCs w:val="24"/>
        </w:rPr>
      </w:pPr>
    </w:p>
    <w:p w14:paraId="0E010262" w14:textId="7C962178" w:rsidR="00F82BC5" w:rsidRPr="00F82BC5" w:rsidRDefault="00F82BC5" w:rsidP="006655F5">
      <w:pPr>
        <w:spacing w:line="240" w:lineRule="auto"/>
        <w:contextualSpacing/>
        <w:jc w:val="both"/>
        <w:rPr>
          <w:szCs w:val="24"/>
        </w:rPr>
      </w:pPr>
      <w:r>
        <w:rPr>
          <w:szCs w:val="24"/>
        </w:rPr>
        <w:t>where</w:t>
      </w:r>
      <w:r w:rsidR="00A91230">
        <w:rPr>
          <w:szCs w:val="24"/>
        </w:rPr>
        <w:t xml:space="preserve"> </w:t>
      </w:r>
      <w:r w:rsidR="00A91230" w:rsidRPr="00FC2D1A">
        <w:rPr>
          <w:i/>
          <w:iCs/>
          <w:szCs w:val="24"/>
        </w:rPr>
        <w:t>M</w:t>
      </w:r>
      <w:r w:rsidR="00A91230" w:rsidRPr="00FC2D1A">
        <w:rPr>
          <w:i/>
          <w:iCs/>
          <w:szCs w:val="24"/>
          <w:vertAlign w:val="subscript"/>
        </w:rPr>
        <w:t>o</w:t>
      </w:r>
      <w:r>
        <w:rPr>
          <w:szCs w:val="24"/>
        </w:rPr>
        <w:t xml:space="preserve"> </w:t>
      </w:r>
      <w:r w:rsidR="00A91230">
        <w:rPr>
          <w:szCs w:val="24"/>
        </w:rPr>
        <w:t xml:space="preserve">is the total mass of the overlayer, </w:t>
      </w:r>
      <w:r>
        <w:rPr>
          <w:i/>
          <w:iCs/>
          <w:szCs w:val="24"/>
        </w:rPr>
        <w:t>m</w:t>
      </w:r>
      <w:r>
        <w:rPr>
          <w:i/>
          <w:iCs/>
          <w:szCs w:val="24"/>
          <w:vertAlign w:val="subscript"/>
        </w:rPr>
        <w:t>Si</w:t>
      </w:r>
      <w:r w:rsidR="00A91230">
        <w:rPr>
          <w:i/>
          <w:iCs/>
          <w:szCs w:val="24"/>
          <w:vertAlign w:val="subscript"/>
        </w:rPr>
        <w:t>,0</w:t>
      </w:r>
      <w:r>
        <w:t xml:space="preserve"> is the </w:t>
      </w:r>
      <w:r w:rsidR="00A91230">
        <w:t xml:space="preserve">initial </w:t>
      </w:r>
      <w:r>
        <w:t xml:space="preserve">mass fraction of Si in the </w:t>
      </w:r>
      <w:r w:rsidR="00A91230">
        <w:t xml:space="preserve">PDMS precursor film, </w:t>
      </w:r>
      <w:r>
        <w:t>and</w:t>
      </w:r>
      <w:r>
        <w:rPr>
          <w:szCs w:val="24"/>
        </w:rPr>
        <w:t xml:space="preserve"> </w:t>
      </w:r>
      <w:r w:rsidRPr="00FC2D1A">
        <w:rPr>
          <w:i/>
          <w:iCs/>
          <w:szCs w:val="24"/>
        </w:rPr>
        <w:t>M</w:t>
      </w:r>
      <w:r w:rsidRPr="00FC2D1A">
        <w:rPr>
          <w:i/>
          <w:iCs/>
          <w:szCs w:val="24"/>
          <w:vertAlign w:val="subscript"/>
        </w:rPr>
        <w:t>o,t</w:t>
      </w:r>
      <w:r>
        <w:rPr>
          <w:szCs w:val="24"/>
        </w:rPr>
        <w:t xml:space="preserve"> is the total mass of the </w:t>
      </w:r>
      <w:r w:rsidR="00A91230">
        <w:rPr>
          <w:szCs w:val="24"/>
        </w:rPr>
        <w:t>PDMS  precursor film.  Because the total overlayer mass is related to overlayer density (</w:t>
      </w:r>
      <w:r w:rsidR="00A91230" w:rsidRPr="00CC5EA6">
        <w:rPr>
          <w:i/>
          <w:szCs w:val="24"/>
        </w:rPr>
        <w:t>ρ</w:t>
      </w:r>
      <w:r w:rsidR="00A91230" w:rsidRPr="00CC5EA6">
        <w:rPr>
          <w:i/>
          <w:szCs w:val="24"/>
          <w:vertAlign w:val="subscript"/>
        </w:rPr>
        <w:t>o</w:t>
      </w:r>
      <w:r w:rsidR="00A91230">
        <w:rPr>
          <w:szCs w:val="24"/>
        </w:rPr>
        <w:t>) and volume (</w:t>
      </w:r>
      <w:r w:rsidR="00A91230" w:rsidRPr="00CC5EA6">
        <w:rPr>
          <w:i/>
          <w:szCs w:val="24"/>
        </w:rPr>
        <w:t>V</w:t>
      </w:r>
      <w:r w:rsidR="00A91230" w:rsidRPr="00CC5EA6">
        <w:rPr>
          <w:i/>
          <w:szCs w:val="24"/>
          <w:vertAlign w:val="subscript"/>
        </w:rPr>
        <w:t>o</w:t>
      </w:r>
      <w:r w:rsidR="00A91230">
        <w:rPr>
          <w:szCs w:val="24"/>
        </w:rPr>
        <w:t xml:space="preserve">) by </w:t>
      </w:r>
      <w:r w:rsidR="00EA0CB5" w:rsidRPr="002F1057">
        <w:rPr>
          <w:i/>
          <w:szCs w:val="24"/>
        </w:rPr>
        <w:t>M</w:t>
      </w:r>
      <w:r w:rsidR="00EA0CB5" w:rsidRPr="002F1057">
        <w:rPr>
          <w:i/>
          <w:szCs w:val="24"/>
          <w:vertAlign w:val="subscript"/>
        </w:rPr>
        <w:t>o</w:t>
      </w:r>
      <w:r w:rsidR="00A91230" w:rsidRPr="002F1057">
        <w:rPr>
          <w:i/>
          <w:szCs w:val="24"/>
        </w:rPr>
        <w:t xml:space="preserve"> =</w:t>
      </w:r>
      <w:r w:rsidR="00EA0CB5" w:rsidRPr="002F1057">
        <w:rPr>
          <w:i/>
          <w:szCs w:val="24"/>
        </w:rPr>
        <w:t xml:space="preserve"> ρ</w:t>
      </w:r>
      <w:r w:rsidR="00EA0CB5" w:rsidRPr="002F1057">
        <w:rPr>
          <w:i/>
          <w:szCs w:val="24"/>
          <w:vertAlign w:val="subscript"/>
        </w:rPr>
        <w:t>o</w:t>
      </w:r>
      <w:r w:rsidR="00EA0CB5" w:rsidRPr="002F1057">
        <w:rPr>
          <w:i/>
          <w:szCs w:val="24"/>
        </w:rPr>
        <w:t>∙</w:t>
      </w:r>
      <w:r w:rsidR="00A91230" w:rsidRPr="002F1057">
        <w:rPr>
          <w:i/>
          <w:szCs w:val="24"/>
        </w:rPr>
        <w:t>V</w:t>
      </w:r>
      <w:r w:rsidR="00EA0CB5" w:rsidRPr="002F1057">
        <w:rPr>
          <w:i/>
          <w:szCs w:val="24"/>
          <w:vertAlign w:val="subscript"/>
        </w:rPr>
        <w:t>o</w:t>
      </w:r>
      <w:r w:rsidR="00EA0CB5">
        <w:rPr>
          <w:szCs w:val="24"/>
        </w:rPr>
        <w:t xml:space="preserve">, and </w:t>
      </w:r>
      <w:r w:rsidR="00EA0CB5" w:rsidRPr="002F1057">
        <w:rPr>
          <w:i/>
          <w:szCs w:val="24"/>
        </w:rPr>
        <w:t>V</w:t>
      </w:r>
      <w:r w:rsidR="00EA0CB5" w:rsidRPr="002F1057">
        <w:rPr>
          <w:i/>
          <w:szCs w:val="24"/>
          <w:vertAlign w:val="subscript"/>
        </w:rPr>
        <w:t>o</w:t>
      </w:r>
      <w:r>
        <w:rPr>
          <w:szCs w:val="24"/>
        </w:rPr>
        <w:t xml:space="preserve"> </w:t>
      </w:r>
      <w:r w:rsidR="00EA0CB5">
        <w:rPr>
          <w:szCs w:val="24"/>
        </w:rPr>
        <w:t xml:space="preserve">is given by the </w:t>
      </w:r>
      <w:r>
        <w:rPr>
          <w:szCs w:val="24"/>
        </w:rPr>
        <w:t>product of the sample area and overlayer thickness (</w:t>
      </w:r>
      <w:r>
        <w:rPr>
          <w:i/>
          <w:iCs/>
          <w:szCs w:val="24"/>
        </w:rPr>
        <w:t>t</w:t>
      </w:r>
      <w:r>
        <w:rPr>
          <w:i/>
          <w:iCs/>
          <w:szCs w:val="24"/>
          <w:vertAlign w:val="subscript"/>
        </w:rPr>
        <w:t>o</w:t>
      </w:r>
      <w:r w:rsidR="005D070E">
        <w:rPr>
          <w:szCs w:val="24"/>
        </w:rPr>
        <w:t>), Equation (</w:t>
      </w:r>
      <w:r w:rsidR="003164CC">
        <w:rPr>
          <w:szCs w:val="24"/>
        </w:rPr>
        <w:t>2</w:t>
      </w:r>
      <w:r w:rsidR="005D070E">
        <w:rPr>
          <w:szCs w:val="24"/>
        </w:rPr>
        <w:t>.2</w:t>
      </w:r>
      <w:r w:rsidR="00EA0CB5">
        <w:rPr>
          <w:szCs w:val="24"/>
        </w:rPr>
        <w:t xml:space="preserve">) can be re-written as:   </w:t>
      </w:r>
    </w:p>
    <w:p w14:paraId="5F4B0E75" w14:textId="77777777" w:rsidR="00217694" w:rsidRPr="000F132F" w:rsidRDefault="00217694" w:rsidP="006655F5">
      <w:pPr>
        <w:spacing w:line="240" w:lineRule="auto"/>
        <w:contextualSpacing/>
        <w:jc w:val="both"/>
        <w:rPr>
          <w:szCs w:val="24"/>
        </w:rPr>
      </w:pPr>
    </w:p>
    <w:p w14:paraId="5D768920" w14:textId="3D338585" w:rsidR="00217694" w:rsidRPr="000F132F" w:rsidRDefault="00E87563" w:rsidP="006655F5">
      <w:pPr>
        <w:spacing w:line="240" w:lineRule="auto"/>
        <w:contextualSpacing/>
        <w:jc w:val="right"/>
        <w:rPr>
          <w:szCs w:val="24"/>
        </w:rPr>
      </w:pPr>
      <m:oMath>
        <m:sSub>
          <m:sSubPr>
            <m:ctrlPr>
              <w:rPr>
                <w:rFonts w:ascii="Cambria Math" w:hAnsi="Cambria Math"/>
                <w:i/>
                <w:szCs w:val="24"/>
              </w:rPr>
            </m:ctrlPr>
          </m:sSubPr>
          <m:e>
            <m:r>
              <w:rPr>
                <w:rFonts w:ascii="Cambria Math" w:hAnsi="Cambria Math"/>
                <w:szCs w:val="24"/>
              </w:rPr>
              <m:t>m</m:t>
            </m:r>
          </m:e>
          <m:sub>
            <m:r>
              <w:rPr>
                <w:rFonts w:ascii="Cambria Math" w:hAnsi="Cambria Math"/>
                <w:szCs w:val="24"/>
              </w:rPr>
              <m:t>Si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ρ</m:t>
            </m:r>
          </m:e>
          <m:sub>
            <m:r>
              <w:rPr>
                <w:rFonts w:ascii="Cambria Math" w:hAnsi="Cambria Math"/>
                <w:szCs w:val="24"/>
              </w:rPr>
              <m:t xml:space="preserve">o </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 xml:space="preserve">o </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m</m:t>
            </m:r>
          </m:e>
          <m:sub>
            <m:r>
              <w:rPr>
                <w:rFonts w:ascii="Cambria Math" w:hAnsi="Cambria Math"/>
                <w:szCs w:val="24"/>
              </w:rPr>
              <m:t>Si,  0</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ρ</m:t>
            </m:r>
          </m:e>
          <m:sub>
            <m:r>
              <w:rPr>
                <w:rFonts w:ascii="Cambria Math" w:hAnsi="Cambria Math"/>
                <w:szCs w:val="24"/>
              </w:rPr>
              <m:t>o,0</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 xml:space="preserve">o,0 </m:t>
            </m:r>
          </m:sub>
        </m:sSub>
      </m:oMath>
      <w:r w:rsidR="00C35EB6">
        <w:rPr>
          <w:szCs w:val="24"/>
        </w:rPr>
        <w:tab/>
      </w:r>
      <w:r w:rsidR="00C35EB6">
        <w:rPr>
          <w:szCs w:val="24"/>
        </w:rPr>
        <w:tab/>
      </w:r>
      <w:r w:rsidR="00EA0CB5">
        <w:rPr>
          <w:szCs w:val="24"/>
        </w:rPr>
        <w:tab/>
      </w:r>
      <w:r w:rsidR="00C35EB6">
        <w:rPr>
          <w:szCs w:val="24"/>
        </w:rPr>
        <w:tab/>
      </w:r>
      <w:r w:rsidR="005D070E">
        <w:rPr>
          <w:szCs w:val="24"/>
        </w:rPr>
        <w:t>(</w:t>
      </w:r>
      <w:r w:rsidR="003164CC">
        <w:rPr>
          <w:szCs w:val="24"/>
        </w:rPr>
        <w:t>2</w:t>
      </w:r>
      <w:r w:rsidR="005D070E">
        <w:rPr>
          <w:szCs w:val="24"/>
        </w:rPr>
        <w:t>.3</w:t>
      </w:r>
      <w:r w:rsidR="00217694">
        <w:rPr>
          <w:szCs w:val="24"/>
        </w:rPr>
        <w:t>)</w:t>
      </w:r>
    </w:p>
    <w:p w14:paraId="27777CAC" w14:textId="77777777" w:rsidR="00217694" w:rsidRPr="000F132F" w:rsidRDefault="00217694" w:rsidP="006655F5">
      <w:pPr>
        <w:spacing w:line="240" w:lineRule="auto"/>
        <w:contextualSpacing/>
        <w:jc w:val="both"/>
        <w:rPr>
          <w:szCs w:val="24"/>
        </w:rPr>
      </w:pPr>
    </w:p>
    <w:p w14:paraId="5FBA537D" w14:textId="0E23A455" w:rsidR="00EA0CB5" w:rsidRDefault="00DA2C97" w:rsidP="006655F5">
      <w:pPr>
        <w:spacing w:line="240" w:lineRule="auto"/>
        <w:contextualSpacing/>
        <w:jc w:val="both"/>
        <w:rPr>
          <w:szCs w:val="24"/>
        </w:rPr>
      </w:pPr>
      <w:r>
        <w:rPr>
          <w:szCs w:val="24"/>
        </w:rPr>
        <w:t>where the sample area does no</w:t>
      </w:r>
      <w:r w:rsidR="00EA0CB5">
        <w:rPr>
          <w:szCs w:val="24"/>
        </w:rPr>
        <w:t>t show up because it does</w:t>
      </w:r>
      <w:r w:rsidR="00AE2952">
        <w:rPr>
          <w:szCs w:val="24"/>
        </w:rPr>
        <w:t xml:space="preserve"> no</w:t>
      </w:r>
      <w:r w:rsidR="00EA0CB5">
        <w:rPr>
          <w:szCs w:val="24"/>
        </w:rPr>
        <w:t>t change due to the UV-ozone process.</w:t>
      </w:r>
    </w:p>
    <w:p w14:paraId="2DF6A97A" w14:textId="55A0BF38" w:rsidR="00217694" w:rsidRDefault="00217694" w:rsidP="006655F5">
      <w:pPr>
        <w:spacing w:line="240" w:lineRule="auto"/>
        <w:contextualSpacing/>
        <w:jc w:val="both"/>
        <w:rPr>
          <w:szCs w:val="24"/>
        </w:rPr>
      </w:pPr>
      <w:r w:rsidRPr="000F132F">
        <w:rPr>
          <w:szCs w:val="24"/>
        </w:rPr>
        <w:lastRenderedPageBreak/>
        <w:t xml:space="preserve">Finally, </w:t>
      </w:r>
      <w:r w:rsidR="005D070E">
        <w:rPr>
          <w:szCs w:val="24"/>
        </w:rPr>
        <w:t>Equation (</w:t>
      </w:r>
      <w:r w:rsidR="003164CC">
        <w:rPr>
          <w:szCs w:val="24"/>
        </w:rPr>
        <w:t>2</w:t>
      </w:r>
      <w:r w:rsidR="005D070E">
        <w:rPr>
          <w:szCs w:val="24"/>
        </w:rPr>
        <w:t>.3</w:t>
      </w:r>
      <w:r w:rsidR="00EA0CB5">
        <w:rPr>
          <w:szCs w:val="24"/>
        </w:rPr>
        <w:t xml:space="preserve">) can be rearranged to solve for the overlayer density: </w:t>
      </w:r>
    </w:p>
    <w:p w14:paraId="2FE696C3" w14:textId="77777777" w:rsidR="00AE2952" w:rsidRPr="000F132F" w:rsidRDefault="00AE2952" w:rsidP="006655F5">
      <w:pPr>
        <w:spacing w:line="240" w:lineRule="auto"/>
        <w:contextualSpacing/>
        <w:jc w:val="both"/>
        <w:rPr>
          <w:szCs w:val="24"/>
        </w:rPr>
      </w:pPr>
    </w:p>
    <w:p w14:paraId="6AD082BC" w14:textId="0201BC35" w:rsidR="00217694" w:rsidRDefault="00E87563" w:rsidP="006655F5">
      <w:pPr>
        <w:spacing w:line="240" w:lineRule="auto"/>
        <w:contextualSpacing/>
        <w:jc w:val="right"/>
        <w:rPr>
          <w:szCs w:val="24"/>
        </w:rPr>
      </w:pPr>
      <m:oMath>
        <m:sSub>
          <m:sSubPr>
            <m:ctrlPr>
              <w:rPr>
                <w:rFonts w:ascii="Cambria Math" w:hAnsi="Cambria Math"/>
                <w:i/>
                <w:szCs w:val="24"/>
              </w:rPr>
            </m:ctrlPr>
          </m:sSubPr>
          <m:e>
            <m:r>
              <w:rPr>
                <w:rFonts w:ascii="Cambria Math" w:hAnsi="Cambria Math"/>
                <w:szCs w:val="24"/>
              </w:rPr>
              <m:t>ρ</m:t>
            </m:r>
          </m:e>
          <m:sub>
            <m:r>
              <w:rPr>
                <w:rFonts w:ascii="Cambria Math" w:hAnsi="Cambria Math"/>
                <w:szCs w:val="24"/>
              </w:rPr>
              <m:t xml:space="preserve">o </m:t>
            </m:r>
          </m:sub>
        </m:sSub>
        <m:r>
          <w:rPr>
            <w:rFonts w:ascii="Cambria Math" w:hAnsi="Cambria Math"/>
            <w:szCs w:val="24"/>
          </w:rPr>
          <m:t xml:space="preserve">= </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m</m:t>
                </m:r>
              </m:e>
              <m:sub>
                <m:r>
                  <w:rPr>
                    <w:rFonts w:ascii="Cambria Math" w:hAnsi="Cambria Math"/>
                    <w:szCs w:val="24"/>
                  </w:rPr>
                  <m:t>Si,  0</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ρ</m:t>
                </m:r>
              </m:e>
              <m:sub>
                <m:r>
                  <w:rPr>
                    <w:rFonts w:ascii="Cambria Math" w:hAnsi="Cambria Math"/>
                    <w:szCs w:val="24"/>
                  </w:rPr>
                  <m:t>o,0</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 xml:space="preserve">o,0 </m:t>
                </m:r>
              </m:sub>
            </m:sSub>
          </m:num>
          <m:den>
            <m:sSub>
              <m:sSubPr>
                <m:ctrlPr>
                  <w:rPr>
                    <w:rFonts w:ascii="Cambria Math" w:hAnsi="Cambria Math"/>
                    <w:i/>
                    <w:szCs w:val="24"/>
                  </w:rPr>
                </m:ctrlPr>
              </m:sSubPr>
              <m:e>
                <m:r>
                  <w:rPr>
                    <w:rFonts w:ascii="Cambria Math" w:hAnsi="Cambria Math"/>
                    <w:szCs w:val="24"/>
                  </w:rPr>
                  <m:t>m</m:t>
                </m:r>
              </m:e>
              <m:sub>
                <m:r>
                  <w:rPr>
                    <w:rFonts w:ascii="Cambria Math" w:hAnsi="Cambria Math"/>
                    <w:szCs w:val="24"/>
                  </w:rPr>
                  <m:t>Si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 xml:space="preserve">o </m:t>
                </m:r>
              </m:sub>
            </m:sSub>
          </m:den>
        </m:f>
      </m:oMath>
      <w:r w:rsidR="00EA0CB5">
        <w:rPr>
          <w:szCs w:val="24"/>
        </w:rPr>
        <w:t xml:space="preserve">  </w:t>
      </w:r>
      <w:r w:rsidR="00EA0CB5">
        <w:rPr>
          <w:szCs w:val="24"/>
        </w:rPr>
        <w:tab/>
      </w:r>
      <w:r w:rsidR="00EA0CB5">
        <w:rPr>
          <w:szCs w:val="24"/>
        </w:rPr>
        <w:tab/>
      </w:r>
      <w:r w:rsidR="00C67838">
        <w:rPr>
          <w:szCs w:val="24"/>
        </w:rPr>
        <w:t xml:space="preserve">    </w:t>
      </w:r>
      <w:r w:rsidR="00EA0CB5">
        <w:rPr>
          <w:szCs w:val="24"/>
        </w:rPr>
        <w:tab/>
      </w:r>
      <w:r w:rsidR="00EA0CB5">
        <w:rPr>
          <w:szCs w:val="24"/>
        </w:rPr>
        <w:tab/>
      </w:r>
      <w:r w:rsidR="00C67838">
        <w:rPr>
          <w:szCs w:val="24"/>
        </w:rPr>
        <w:t xml:space="preserve">             </w:t>
      </w:r>
      <w:r w:rsidR="005D070E">
        <w:rPr>
          <w:szCs w:val="24"/>
        </w:rPr>
        <w:t>(</w:t>
      </w:r>
      <w:r w:rsidR="003164CC">
        <w:rPr>
          <w:szCs w:val="24"/>
        </w:rPr>
        <w:t>2</w:t>
      </w:r>
      <w:r w:rsidR="005D070E">
        <w:rPr>
          <w:szCs w:val="24"/>
        </w:rPr>
        <w:t>.4</w:t>
      </w:r>
      <w:r w:rsidR="00EA0CB5">
        <w:rPr>
          <w:szCs w:val="24"/>
        </w:rPr>
        <w:t>)</w:t>
      </w:r>
    </w:p>
    <w:p w14:paraId="76A0E606" w14:textId="77777777" w:rsidR="00AE2952" w:rsidRDefault="00AE2952" w:rsidP="006655F5">
      <w:pPr>
        <w:spacing w:line="240" w:lineRule="auto"/>
        <w:contextualSpacing/>
        <w:jc w:val="right"/>
        <w:rPr>
          <w:szCs w:val="24"/>
        </w:rPr>
      </w:pPr>
    </w:p>
    <w:p w14:paraId="603BB078" w14:textId="70B7D30E" w:rsidR="00A91230" w:rsidRDefault="0093335D" w:rsidP="006655F5">
      <w:pPr>
        <w:spacing w:line="240" w:lineRule="auto"/>
        <w:contextualSpacing/>
        <w:jc w:val="both"/>
        <w:rPr>
          <w:szCs w:val="24"/>
        </w:rPr>
      </w:pPr>
      <w:r w:rsidRPr="00FC2D1A">
        <w:rPr>
          <w:szCs w:val="24"/>
        </w:rPr>
        <w:t>where the initial (</w:t>
      </w:r>
      <w:r w:rsidRPr="00FC2D1A">
        <w:rPr>
          <w:i/>
          <w:iCs/>
          <w:szCs w:val="24"/>
        </w:rPr>
        <w:t>t</w:t>
      </w:r>
      <w:r w:rsidRPr="00FC2D1A">
        <w:rPr>
          <w:i/>
          <w:iCs/>
          <w:szCs w:val="24"/>
          <w:vertAlign w:val="subscript"/>
        </w:rPr>
        <w:t>o,0</w:t>
      </w:r>
      <w:r w:rsidRPr="00FC2D1A">
        <w:rPr>
          <w:i/>
          <w:iCs/>
          <w:szCs w:val="24"/>
        </w:rPr>
        <w:t>)</w:t>
      </w:r>
      <w:r w:rsidRPr="00FC2D1A">
        <w:rPr>
          <w:szCs w:val="24"/>
        </w:rPr>
        <w:t xml:space="preserve"> and final (</w:t>
      </w:r>
      <w:r w:rsidRPr="00FC2D1A">
        <w:rPr>
          <w:i/>
          <w:iCs/>
          <w:szCs w:val="24"/>
        </w:rPr>
        <w:t>t</w:t>
      </w:r>
      <w:r w:rsidRPr="00FC2D1A">
        <w:rPr>
          <w:i/>
          <w:iCs/>
          <w:szCs w:val="24"/>
          <w:vertAlign w:val="subscript"/>
        </w:rPr>
        <w:t>o</w:t>
      </w:r>
      <w:r w:rsidRPr="00FC2D1A">
        <w:rPr>
          <w:szCs w:val="24"/>
        </w:rPr>
        <w:t>) overlayer thicknesses are measured by ellipsometry and the initial (</w:t>
      </w:r>
      <w:r w:rsidRPr="00FC2D1A">
        <w:rPr>
          <w:i/>
          <w:iCs/>
          <w:szCs w:val="24"/>
        </w:rPr>
        <w:t>m</w:t>
      </w:r>
      <w:r w:rsidRPr="00FC2D1A">
        <w:rPr>
          <w:i/>
          <w:iCs/>
          <w:szCs w:val="24"/>
          <w:vertAlign w:val="subscript"/>
        </w:rPr>
        <w:t>Si,0</w:t>
      </w:r>
      <w:r w:rsidRPr="00FC2D1A">
        <w:rPr>
          <w:szCs w:val="24"/>
        </w:rPr>
        <w:t>) and final (</w:t>
      </w:r>
      <w:r w:rsidRPr="00FC2D1A">
        <w:rPr>
          <w:i/>
          <w:iCs/>
          <w:szCs w:val="24"/>
        </w:rPr>
        <w:t>m</w:t>
      </w:r>
      <w:r w:rsidRPr="00FC2D1A">
        <w:rPr>
          <w:i/>
          <w:iCs/>
          <w:szCs w:val="24"/>
          <w:vertAlign w:val="subscript"/>
        </w:rPr>
        <w:t>Si</w:t>
      </w:r>
      <w:r w:rsidRPr="00FC2D1A">
        <w:rPr>
          <w:szCs w:val="24"/>
        </w:rPr>
        <w:t>) mass fractions of Si in the overlayer were determined by XPS.  For this study, the initial density of the overlayer (</w:t>
      </w:r>
      <w:r w:rsidRPr="00FC2D1A">
        <w:rPr>
          <w:i/>
          <w:iCs/>
          <w:szCs w:val="24"/>
        </w:rPr>
        <w:t>ρ</w:t>
      </w:r>
      <w:r w:rsidRPr="00FC2D1A">
        <w:rPr>
          <w:i/>
          <w:iCs/>
          <w:szCs w:val="24"/>
          <w:vertAlign w:val="subscript"/>
        </w:rPr>
        <w:t>o</w:t>
      </w:r>
      <w:r w:rsidRPr="00FC2D1A">
        <w:rPr>
          <w:szCs w:val="24"/>
        </w:rPr>
        <w:t>) was taken to be that of pure PDMS (</w:t>
      </w:r>
      <w:r w:rsidRPr="002F1057">
        <w:rPr>
          <w:i/>
          <w:szCs w:val="24"/>
        </w:rPr>
        <w:t>ρ</w:t>
      </w:r>
      <w:r w:rsidRPr="00FC2D1A">
        <w:rPr>
          <w:szCs w:val="24"/>
        </w:rPr>
        <w:t xml:space="preserve"> = </w:t>
      </w:r>
      <w:r w:rsidR="00FC2D1A" w:rsidRPr="00FC2D1A">
        <w:rPr>
          <w:szCs w:val="24"/>
        </w:rPr>
        <w:t>985</w:t>
      </w:r>
      <w:r w:rsidRPr="00FC2D1A">
        <w:rPr>
          <w:szCs w:val="24"/>
        </w:rPr>
        <w:t xml:space="preserve"> g cm</w:t>
      </w:r>
      <w:r w:rsidR="00AE2952" w:rsidRPr="00AE2952">
        <w:rPr>
          <w:szCs w:val="24"/>
          <w:vertAlign w:val="superscript"/>
        </w:rPr>
        <w:t>-</w:t>
      </w:r>
      <w:r w:rsidRPr="00FC2D1A">
        <w:rPr>
          <w:szCs w:val="24"/>
          <w:vertAlign w:val="superscript"/>
        </w:rPr>
        <w:t>3</w:t>
      </w:r>
      <w:r w:rsidR="0084009F">
        <w:rPr>
          <w:szCs w:val="24"/>
        </w:rPr>
        <w:t>).</w:t>
      </w:r>
      <w:r w:rsidR="008B109F">
        <w:rPr>
          <w:szCs w:val="24"/>
        </w:rPr>
        <w:fldChar w:fldCharType="begin" w:fldLock="1"/>
      </w:r>
      <w:r w:rsidR="008B109F">
        <w:rPr>
          <w:szCs w:val="24"/>
        </w:rPr>
        <w:instrText>ADDIN CSL_CITATION {"citationItems":[{"id":"ITEM-1","itemData":{"DOI":"10.1007/978-94-011-5222-8_78","author":[{"dropping-particle":"","family":"Kuo","given":"Alex C M","non-dropping-particle":"","parse-names":false,"suffix":""}],"container-title":"Polymer Data Handbook","edition":"1st","id":"ITEM-1","issued":{"date-parts":[["1999"]]},"page":"411-435","publisher":"Oxford University Press","title":"Polydimethylsiloxane","type":"chapter"},"uris":["http://www.mendeley.com/documents/?uuid=5ccb1632-82e8-408e-9d73-4474d4c1bcbc"]}],"mendeley":{"formattedCitation":"&lt;sup&gt;[6]&lt;/sup&gt;","plainTextFormattedCitation":"[6]","previouslyFormattedCitation":"&lt;sup&gt;[6]&lt;/sup&gt;"},"properties":{"noteIndex":0},"schema":"https://github.com/citation-style-language/schema/raw/master/csl-citation.json"}</w:instrText>
      </w:r>
      <w:r w:rsidR="008B109F">
        <w:rPr>
          <w:szCs w:val="24"/>
        </w:rPr>
        <w:fldChar w:fldCharType="separate"/>
      </w:r>
      <w:r w:rsidR="008B109F" w:rsidRPr="008B109F">
        <w:rPr>
          <w:noProof/>
          <w:szCs w:val="24"/>
          <w:vertAlign w:val="superscript"/>
        </w:rPr>
        <w:t>[6]</w:t>
      </w:r>
      <w:r w:rsidR="008B109F">
        <w:rPr>
          <w:szCs w:val="24"/>
        </w:rPr>
        <w:fldChar w:fldCharType="end"/>
      </w:r>
      <w:r w:rsidR="0084009F">
        <w:rPr>
          <w:szCs w:val="24"/>
        </w:rPr>
        <w:t xml:space="preserve"> </w:t>
      </w:r>
    </w:p>
    <w:p w14:paraId="1E1CE052" w14:textId="13613298" w:rsidR="002F6910" w:rsidRDefault="00A91230" w:rsidP="006655F5">
      <w:pPr>
        <w:spacing w:line="240" w:lineRule="auto"/>
        <w:contextualSpacing/>
        <w:jc w:val="both"/>
        <w:rPr>
          <w:szCs w:val="24"/>
        </w:rPr>
      </w:pPr>
      <w:r>
        <w:rPr>
          <w:szCs w:val="24"/>
        </w:rPr>
        <w:tab/>
      </w:r>
      <w:r w:rsidR="0093335D">
        <w:rPr>
          <w:szCs w:val="24"/>
        </w:rPr>
        <w:t>Overlayer densitie</w:t>
      </w:r>
      <w:r w:rsidR="005D070E">
        <w:rPr>
          <w:szCs w:val="24"/>
        </w:rPr>
        <w:t>s calculated using Equation (</w:t>
      </w:r>
      <w:r w:rsidR="003164CC">
        <w:rPr>
          <w:szCs w:val="24"/>
        </w:rPr>
        <w:t>2</w:t>
      </w:r>
      <w:r w:rsidR="005D070E">
        <w:rPr>
          <w:szCs w:val="24"/>
        </w:rPr>
        <w:t>.4</w:t>
      </w:r>
      <w:r w:rsidR="0093335D">
        <w:rPr>
          <w:szCs w:val="24"/>
        </w:rPr>
        <w:t xml:space="preserve">) were also used to estimate </w:t>
      </w:r>
      <w:r w:rsidR="0044433C">
        <w:rPr>
          <w:szCs w:val="24"/>
        </w:rPr>
        <w:t>a</w:t>
      </w:r>
      <w:r w:rsidR="002F6910">
        <w:rPr>
          <w:szCs w:val="24"/>
        </w:rPr>
        <w:t xml:space="preserve">verage </w:t>
      </w:r>
      <w:r w:rsidR="0093335D">
        <w:rPr>
          <w:szCs w:val="24"/>
        </w:rPr>
        <w:t>distance between nearest neighbor Si atoms within the SiO</w:t>
      </w:r>
      <w:r w:rsidR="0093335D">
        <w:rPr>
          <w:szCs w:val="24"/>
          <w:vertAlign w:val="subscript"/>
        </w:rPr>
        <w:t>x</w:t>
      </w:r>
      <w:r w:rsidR="0093335D">
        <w:rPr>
          <w:szCs w:val="24"/>
        </w:rPr>
        <w:t>C</w:t>
      </w:r>
      <w:r w:rsidR="0093335D">
        <w:rPr>
          <w:szCs w:val="24"/>
          <w:vertAlign w:val="subscript"/>
        </w:rPr>
        <w:t>y</w:t>
      </w:r>
      <w:r w:rsidR="0093335D">
        <w:rPr>
          <w:szCs w:val="24"/>
        </w:rPr>
        <w:t xml:space="preserve"> overlayers (</w:t>
      </w:r>
      <w:r w:rsidR="0093335D">
        <w:rPr>
          <w:i/>
          <w:iCs/>
          <w:szCs w:val="24"/>
        </w:rPr>
        <w:t>l</w:t>
      </w:r>
      <w:r w:rsidR="0093335D">
        <w:rPr>
          <w:i/>
          <w:iCs/>
          <w:szCs w:val="24"/>
          <w:vertAlign w:val="subscript"/>
        </w:rPr>
        <w:t>Si-Si</w:t>
      </w:r>
      <w:r w:rsidR="0093335D">
        <w:rPr>
          <w:szCs w:val="24"/>
        </w:rPr>
        <w:t xml:space="preserve">). </w:t>
      </w:r>
      <w:r w:rsidR="00E01A69">
        <w:rPr>
          <w:szCs w:val="24"/>
        </w:rPr>
        <w:t>First, the average molar volume of Si within the SiO</w:t>
      </w:r>
      <w:r w:rsidR="00E01A69">
        <w:rPr>
          <w:szCs w:val="24"/>
          <w:vertAlign w:val="subscript"/>
        </w:rPr>
        <w:t>x</w:t>
      </w:r>
      <w:r w:rsidR="00E01A69">
        <w:rPr>
          <w:szCs w:val="24"/>
        </w:rPr>
        <w:t>C</w:t>
      </w:r>
      <w:r w:rsidR="00E01A69">
        <w:rPr>
          <w:szCs w:val="24"/>
          <w:vertAlign w:val="subscript"/>
        </w:rPr>
        <w:t>y</w:t>
      </w:r>
      <w:r w:rsidR="00E01A69">
        <w:rPr>
          <w:szCs w:val="24"/>
        </w:rPr>
        <w:t xml:space="preserve"> overlayer (</w:t>
      </w:r>
      <w:r w:rsidR="00E01A69">
        <w:rPr>
          <w:i/>
          <w:iCs/>
          <w:szCs w:val="24"/>
        </w:rPr>
        <w:t>V</w:t>
      </w:r>
      <w:r w:rsidR="00E01A69">
        <w:rPr>
          <w:i/>
          <w:iCs/>
          <w:szCs w:val="24"/>
          <w:vertAlign w:val="subscript"/>
        </w:rPr>
        <w:t>Si</w:t>
      </w:r>
      <w:r w:rsidR="00932FEC">
        <w:rPr>
          <w:szCs w:val="24"/>
        </w:rPr>
        <w:t xml:space="preserve">) </w:t>
      </w:r>
      <w:r w:rsidR="005D070E">
        <w:rPr>
          <w:szCs w:val="24"/>
        </w:rPr>
        <w:t>was computed using Equation (</w:t>
      </w:r>
      <w:r w:rsidR="003164CC">
        <w:rPr>
          <w:szCs w:val="24"/>
        </w:rPr>
        <w:t>2</w:t>
      </w:r>
      <w:r w:rsidR="005D070E">
        <w:rPr>
          <w:szCs w:val="24"/>
        </w:rPr>
        <w:t>.5</w:t>
      </w:r>
      <w:r w:rsidR="00E01A69">
        <w:rPr>
          <w:szCs w:val="24"/>
        </w:rPr>
        <w:t>):</w:t>
      </w:r>
    </w:p>
    <w:p w14:paraId="4222F950" w14:textId="77777777" w:rsidR="00116DC0" w:rsidRDefault="00116DC0" w:rsidP="006655F5">
      <w:pPr>
        <w:spacing w:line="240" w:lineRule="auto"/>
        <w:contextualSpacing/>
        <w:jc w:val="both"/>
        <w:rPr>
          <w:szCs w:val="24"/>
        </w:rPr>
      </w:pPr>
    </w:p>
    <w:p w14:paraId="21CB45B4" w14:textId="03F93FFA" w:rsidR="0044433C" w:rsidRDefault="00E87563" w:rsidP="006655F5">
      <w:pPr>
        <w:spacing w:line="240" w:lineRule="auto"/>
        <w:contextualSpacing/>
        <w:jc w:val="right"/>
        <w:rPr>
          <w:szCs w:val="24"/>
        </w:rPr>
      </w:pPr>
      <m:oMath>
        <m:sSub>
          <m:sSubPr>
            <m:ctrlPr>
              <w:rPr>
                <w:rFonts w:ascii="Cambria Math" w:hAnsi="Cambria Math"/>
                <w:i/>
                <w:szCs w:val="24"/>
              </w:rPr>
            </m:ctrlPr>
          </m:sSubPr>
          <m:e>
            <m:r>
              <w:rPr>
                <w:rFonts w:ascii="Cambria Math" w:hAnsi="Cambria Math"/>
                <w:szCs w:val="24"/>
              </w:rPr>
              <m:t>V</m:t>
            </m:r>
          </m:e>
          <m:sub>
            <m:r>
              <w:rPr>
                <w:rFonts w:ascii="Cambria Math" w:hAnsi="Cambria Math"/>
                <w:szCs w:val="24"/>
              </w:rPr>
              <m:t>si</m:t>
            </m:r>
          </m:sub>
        </m:sSub>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MW</m:t>
                </m:r>
              </m:e>
              <m:sub>
                <m:r>
                  <w:rPr>
                    <w:rFonts w:ascii="Cambria Math" w:hAnsi="Cambria Math"/>
                    <w:szCs w:val="24"/>
                  </w:rPr>
                  <m:t>Si</m:t>
                </m:r>
              </m:sub>
            </m:sSub>
          </m:num>
          <m:den>
            <m:sSub>
              <m:sSubPr>
                <m:ctrlPr>
                  <w:rPr>
                    <w:rFonts w:ascii="Cambria Math" w:hAnsi="Cambria Math"/>
                    <w:i/>
                    <w:szCs w:val="24"/>
                  </w:rPr>
                </m:ctrlPr>
              </m:sSubPr>
              <m:e>
                <m:r>
                  <w:rPr>
                    <w:rFonts w:ascii="Cambria Math" w:hAnsi="Cambria Math"/>
                    <w:szCs w:val="24"/>
                  </w:rPr>
                  <m:t>ρ</m:t>
                </m:r>
              </m:e>
              <m:sub>
                <m:r>
                  <w:rPr>
                    <w:rFonts w:ascii="Cambria Math" w:hAnsi="Cambria Math"/>
                    <w:szCs w:val="24"/>
                  </w:rPr>
                  <m:t>o</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m</m:t>
                </m:r>
              </m:e>
              <m:sub>
                <m:r>
                  <w:rPr>
                    <w:rFonts w:ascii="Cambria Math" w:hAnsi="Cambria Math"/>
                    <w:szCs w:val="24"/>
                  </w:rPr>
                  <m:t>Si</m:t>
                </m:r>
              </m:sub>
            </m:sSub>
          </m:den>
        </m:f>
      </m:oMath>
      <w:r w:rsidR="0044433C">
        <w:rPr>
          <w:szCs w:val="24"/>
        </w:rPr>
        <w:t xml:space="preserve"> </w:t>
      </w:r>
      <w:r w:rsidR="00E01A69">
        <w:rPr>
          <w:szCs w:val="24"/>
        </w:rPr>
        <w:tab/>
      </w:r>
      <w:r w:rsidR="00E01A69">
        <w:rPr>
          <w:szCs w:val="24"/>
        </w:rPr>
        <w:tab/>
      </w:r>
      <w:r w:rsidR="00E01A69">
        <w:rPr>
          <w:szCs w:val="24"/>
        </w:rPr>
        <w:tab/>
      </w:r>
      <w:r w:rsidR="00E01A69">
        <w:rPr>
          <w:szCs w:val="24"/>
        </w:rPr>
        <w:tab/>
      </w:r>
      <w:r w:rsidR="00E01A69">
        <w:rPr>
          <w:szCs w:val="24"/>
        </w:rPr>
        <w:tab/>
      </w:r>
      <w:r w:rsidR="00C67838">
        <w:rPr>
          <w:szCs w:val="24"/>
        </w:rPr>
        <w:t xml:space="preserve">      </w:t>
      </w:r>
      <w:r w:rsidR="005D070E">
        <w:rPr>
          <w:szCs w:val="24"/>
        </w:rPr>
        <w:t>(</w:t>
      </w:r>
      <w:r w:rsidR="003164CC">
        <w:rPr>
          <w:szCs w:val="24"/>
        </w:rPr>
        <w:t>2</w:t>
      </w:r>
      <w:r w:rsidR="005D070E">
        <w:rPr>
          <w:szCs w:val="24"/>
        </w:rPr>
        <w:t>.5</w:t>
      </w:r>
      <w:r w:rsidR="0044433C">
        <w:rPr>
          <w:szCs w:val="24"/>
        </w:rPr>
        <w:t>)</w:t>
      </w:r>
    </w:p>
    <w:p w14:paraId="4A495DF7" w14:textId="77777777" w:rsidR="00116DC0" w:rsidRDefault="00116DC0" w:rsidP="006655F5">
      <w:pPr>
        <w:spacing w:line="240" w:lineRule="auto"/>
        <w:contextualSpacing/>
        <w:jc w:val="right"/>
        <w:rPr>
          <w:szCs w:val="24"/>
        </w:rPr>
      </w:pPr>
    </w:p>
    <w:p w14:paraId="7C28B6BA" w14:textId="103BFFDF" w:rsidR="00CC5EA6" w:rsidRDefault="00932FEC" w:rsidP="006655F5">
      <w:pPr>
        <w:spacing w:line="240" w:lineRule="auto"/>
        <w:contextualSpacing/>
        <w:jc w:val="both"/>
        <w:rPr>
          <w:szCs w:val="24"/>
        </w:rPr>
      </w:pPr>
      <w:r>
        <w:rPr>
          <w:szCs w:val="24"/>
        </w:rPr>
        <w:t>Dividing the computed molar volume of Si by Avogadro’s number</w:t>
      </w:r>
      <w:r w:rsidR="000E6FAE">
        <w:rPr>
          <w:szCs w:val="24"/>
        </w:rPr>
        <w:t xml:space="preserve"> (</w:t>
      </w:r>
      <w:r w:rsidR="000E6FAE" w:rsidRPr="002F1057">
        <w:rPr>
          <w:i/>
          <w:szCs w:val="24"/>
        </w:rPr>
        <w:t>N</w:t>
      </w:r>
      <w:r w:rsidR="000E6FAE" w:rsidRPr="002F1057">
        <w:rPr>
          <w:i/>
          <w:szCs w:val="24"/>
          <w:vertAlign w:val="subscript"/>
        </w:rPr>
        <w:t>A</w:t>
      </w:r>
      <w:r w:rsidR="000E6FAE">
        <w:rPr>
          <w:szCs w:val="24"/>
        </w:rPr>
        <w:t>)</w:t>
      </w:r>
      <w:r>
        <w:rPr>
          <w:szCs w:val="24"/>
        </w:rPr>
        <w:t xml:space="preserve"> gives the average volume per Si atom. </w:t>
      </w:r>
      <w:r w:rsidR="00C00F1A">
        <w:rPr>
          <w:szCs w:val="24"/>
        </w:rPr>
        <w:t>To</w:t>
      </w:r>
      <w:r w:rsidR="007E7CDF">
        <w:rPr>
          <w:szCs w:val="24"/>
        </w:rPr>
        <w:t xml:space="preserve"> compute the</w:t>
      </w:r>
      <w:r w:rsidR="000E6FAE">
        <w:rPr>
          <w:szCs w:val="24"/>
        </w:rPr>
        <w:t xml:space="preserve"> distance between neighboring Si atoms</w:t>
      </w:r>
      <w:r w:rsidR="00C00F1A">
        <w:rPr>
          <w:szCs w:val="24"/>
        </w:rPr>
        <w:t>,</w:t>
      </w:r>
      <w:r w:rsidR="000E6FAE">
        <w:rPr>
          <w:szCs w:val="24"/>
        </w:rPr>
        <w:t xml:space="preserve"> </w:t>
      </w:r>
      <w:r w:rsidR="00C00F1A">
        <w:rPr>
          <w:szCs w:val="24"/>
        </w:rPr>
        <w:t>we</w:t>
      </w:r>
      <w:r w:rsidR="000E6FAE">
        <w:rPr>
          <w:szCs w:val="24"/>
        </w:rPr>
        <w:t xml:space="preserve"> assum</w:t>
      </w:r>
      <w:r w:rsidR="00C00F1A">
        <w:rPr>
          <w:szCs w:val="24"/>
        </w:rPr>
        <w:t>ed</w:t>
      </w:r>
      <w:r w:rsidR="000E6FAE">
        <w:rPr>
          <w:szCs w:val="24"/>
        </w:rPr>
        <w:t xml:space="preserve"> that each Si atom is located at the center of a </w:t>
      </w:r>
      <w:r w:rsidR="00CC5EA6">
        <w:rPr>
          <w:szCs w:val="24"/>
        </w:rPr>
        <w:t>spherical</w:t>
      </w:r>
      <w:r w:rsidR="000E6FAE">
        <w:rPr>
          <w:szCs w:val="24"/>
        </w:rPr>
        <w:t xml:space="preserve"> volume element of volume </w:t>
      </w:r>
      <w:r w:rsidR="000E6FAE" w:rsidRPr="002F1057">
        <w:rPr>
          <w:i/>
          <w:szCs w:val="24"/>
        </w:rPr>
        <w:t>V</w:t>
      </w:r>
      <w:r w:rsidR="000E6FAE" w:rsidRPr="002F1057">
        <w:rPr>
          <w:i/>
          <w:szCs w:val="24"/>
          <w:vertAlign w:val="subscript"/>
        </w:rPr>
        <w:t>Si</w:t>
      </w:r>
      <w:r w:rsidR="000E6FAE" w:rsidRPr="002F1057">
        <w:rPr>
          <w:i/>
          <w:szCs w:val="24"/>
        </w:rPr>
        <w:t>/N</w:t>
      </w:r>
      <w:r w:rsidR="000E6FAE" w:rsidRPr="002F1057">
        <w:rPr>
          <w:i/>
          <w:szCs w:val="24"/>
          <w:vertAlign w:val="subscript"/>
        </w:rPr>
        <w:t>A</w:t>
      </w:r>
      <w:r w:rsidR="00D36B63">
        <w:rPr>
          <w:szCs w:val="24"/>
        </w:rPr>
        <w:t xml:space="preserve"> in </w:t>
      </w:r>
      <w:r w:rsidR="000E6FAE">
        <w:rPr>
          <w:szCs w:val="24"/>
        </w:rPr>
        <w:t xml:space="preserve">a </w:t>
      </w:r>
      <w:r w:rsidR="00CC5EA6">
        <w:rPr>
          <w:szCs w:val="24"/>
        </w:rPr>
        <w:t>simple cubic</w:t>
      </w:r>
      <w:r w:rsidR="000E6FAE">
        <w:rPr>
          <w:szCs w:val="24"/>
        </w:rPr>
        <w:t xml:space="preserve"> lattice arrangement</w:t>
      </w:r>
      <w:r w:rsidR="00C00F1A">
        <w:rPr>
          <w:szCs w:val="24"/>
        </w:rPr>
        <w:t>. I</w:t>
      </w:r>
      <w:r w:rsidR="000E6FAE">
        <w:rPr>
          <w:szCs w:val="24"/>
        </w:rPr>
        <w:t xml:space="preserve">t </w:t>
      </w:r>
      <w:r w:rsidR="00C00F1A">
        <w:rPr>
          <w:szCs w:val="24"/>
        </w:rPr>
        <w:t xml:space="preserve">then </w:t>
      </w:r>
      <w:r w:rsidR="000E6FAE">
        <w:rPr>
          <w:szCs w:val="24"/>
        </w:rPr>
        <w:t>follows that</w:t>
      </w:r>
      <w:r w:rsidR="005C42AF">
        <w:rPr>
          <w:szCs w:val="24"/>
        </w:rPr>
        <w:t xml:space="preserve"> the distance between Si atom</w:t>
      </w:r>
      <w:r w:rsidR="000E6FAE">
        <w:rPr>
          <w:szCs w:val="24"/>
        </w:rPr>
        <w:t>s located in nearest-neighbor volume elements (</w:t>
      </w:r>
      <w:r w:rsidR="000E6FAE">
        <w:rPr>
          <w:i/>
          <w:iCs/>
          <w:szCs w:val="24"/>
        </w:rPr>
        <w:t>l</w:t>
      </w:r>
      <w:r w:rsidR="000E6FAE">
        <w:rPr>
          <w:i/>
          <w:iCs/>
          <w:szCs w:val="24"/>
          <w:vertAlign w:val="subscript"/>
        </w:rPr>
        <w:t>Si-Si</w:t>
      </w:r>
      <w:r w:rsidR="0044433C">
        <w:rPr>
          <w:szCs w:val="24"/>
        </w:rPr>
        <w:t xml:space="preserve">) </w:t>
      </w:r>
      <w:r w:rsidR="005D070E">
        <w:rPr>
          <w:szCs w:val="24"/>
        </w:rPr>
        <w:t>is given by Equation (</w:t>
      </w:r>
      <w:r w:rsidR="003164CC">
        <w:rPr>
          <w:szCs w:val="24"/>
        </w:rPr>
        <w:t>2</w:t>
      </w:r>
      <w:r w:rsidR="005D070E">
        <w:rPr>
          <w:szCs w:val="24"/>
        </w:rPr>
        <w:t>.6</w:t>
      </w:r>
      <w:r w:rsidR="00C00F1A">
        <w:rPr>
          <w:szCs w:val="24"/>
        </w:rPr>
        <w:t>):</w:t>
      </w:r>
    </w:p>
    <w:p w14:paraId="58FA4CAD" w14:textId="4B82C9BC" w:rsidR="005C42AF" w:rsidRDefault="005C42AF" w:rsidP="006655F5">
      <w:pPr>
        <w:spacing w:line="240" w:lineRule="auto"/>
        <w:contextualSpacing/>
        <w:rPr>
          <w:szCs w:val="24"/>
        </w:rPr>
      </w:pPr>
    </w:p>
    <w:p w14:paraId="738220DD" w14:textId="22224283" w:rsidR="005C42AF" w:rsidRDefault="00E87563" w:rsidP="006655F5">
      <w:pPr>
        <w:spacing w:line="240" w:lineRule="auto"/>
        <w:contextualSpacing/>
        <w:jc w:val="right"/>
        <w:rPr>
          <w:szCs w:val="24"/>
        </w:rPr>
      </w:pPr>
      <m:oMath>
        <m:sSub>
          <m:sSubPr>
            <m:ctrlPr>
              <w:rPr>
                <w:rFonts w:ascii="Cambria Math" w:hAnsi="Cambria Math"/>
                <w:i/>
                <w:szCs w:val="24"/>
              </w:rPr>
            </m:ctrlPr>
          </m:sSubPr>
          <m:e>
            <m:r>
              <w:rPr>
                <w:rFonts w:ascii="Cambria Math" w:hAnsi="Cambria Math"/>
                <w:szCs w:val="24"/>
              </w:rPr>
              <m:t>l</m:t>
            </m:r>
          </m:e>
          <m:sub>
            <m:r>
              <w:rPr>
                <w:rFonts w:ascii="Cambria Math" w:hAnsi="Cambria Math"/>
                <w:szCs w:val="24"/>
              </w:rPr>
              <m:t>Si-Si</m:t>
            </m:r>
          </m:sub>
        </m:sSub>
        <m:r>
          <w:rPr>
            <w:rFonts w:ascii="Cambria Math" w:hAnsi="Cambria Math"/>
            <w:szCs w:val="24"/>
          </w:rPr>
          <m:t>=2</m:t>
        </m:r>
        <m:sSup>
          <m:sSupPr>
            <m:ctrlPr>
              <w:rPr>
                <w:rFonts w:ascii="Cambria Math" w:hAnsi="Cambria Math"/>
                <w:i/>
                <w:szCs w:val="24"/>
              </w:rPr>
            </m:ctrlPr>
          </m:sSupPr>
          <m:e>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π</m:t>
                    </m:r>
                    <m:sSub>
                      <m:sSubPr>
                        <m:ctrlPr>
                          <w:rPr>
                            <w:rFonts w:ascii="Cambria Math" w:hAnsi="Cambria Math"/>
                            <w:i/>
                            <w:szCs w:val="24"/>
                          </w:rPr>
                        </m:ctrlPr>
                      </m:sSubPr>
                      <m:e>
                        <m:r>
                          <w:rPr>
                            <w:rFonts w:ascii="Cambria Math" w:hAnsi="Cambria Math"/>
                            <w:szCs w:val="24"/>
                          </w:rPr>
                          <m:t>V</m:t>
                        </m:r>
                      </m:e>
                      <m:sub>
                        <m:r>
                          <w:rPr>
                            <w:rFonts w:ascii="Cambria Math" w:hAnsi="Cambria Math"/>
                            <w:szCs w:val="24"/>
                          </w:rPr>
                          <m:t>Si</m:t>
                        </m:r>
                      </m:sub>
                    </m:sSub>
                  </m:num>
                  <m:den>
                    <m:r>
                      <w:rPr>
                        <w:rFonts w:ascii="Cambria Math" w:hAnsi="Cambria Math"/>
                        <w:szCs w:val="24"/>
                      </w:rPr>
                      <m:t>2</m:t>
                    </m:r>
                  </m:den>
                </m:f>
                <m:r>
                  <w:rPr>
                    <w:rFonts w:ascii="Cambria Math" w:hAnsi="Cambria Math"/>
                    <w:szCs w:val="24"/>
                  </w:rPr>
                  <m:t>∙</m:t>
                </m:r>
                <m:f>
                  <m:fPr>
                    <m:ctrlPr>
                      <w:rPr>
                        <w:rFonts w:ascii="Cambria Math" w:hAnsi="Cambria Math"/>
                        <w:i/>
                        <w:szCs w:val="24"/>
                      </w:rPr>
                    </m:ctrlPr>
                  </m:fPr>
                  <m:num>
                    <m:r>
                      <w:rPr>
                        <w:rFonts w:ascii="Cambria Math" w:hAnsi="Cambria Math"/>
                        <w:szCs w:val="24"/>
                      </w:rPr>
                      <m:t>3</m:t>
                    </m:r>
                  </m:num>
                  <m:den>
                    <m:r>
                      <w:rPr>
                        <w:rFonts w:ascii="Cambria Math" w:hAnsi="Cambria Math"/>
                        <w:szCs w:val="24"/>
                      </w:rPr>
                      <m:t>4π</m:t>
                    </m:r>
                  </m:den>
                </m:f>
              </m:e>
            </m:d>
          </m:e>
          <m:sup>
            <m:f>
              <m:fPr>
                <m:ctrlPr>
                  <w:rPr>
                    <w:rFonts w:ascii="Cambria Math" w:hAnsi="Cambria Math"/>
                    <w:i/>
                    <w:szCs w:val="24"/>
                  </w:rPr>
                </m:ctrlPr>
              </m:fPr>
              <m:num>
                <m:r>
                  <w:rPr>
                    <w:rFonts w:ascii="Cambria Math" w:hAnsi="Cambria Math"/>
                    <w:szCs w:val="24"/>
                  </w:rPr>
                  <m:t>1</m:t>
                </m:r>
              </m:num>
              <m:den>
                <m:r>
                  <w:rPr>
                    <w:rFonts w:ascii="Cambria Math" w:hAnsi="Cambria Math"/>
                    <w:szCs w:val="24"/>
                  </w:rPr>
                  <m:t>3</m:t>
                </m:r>
              </m:den>
            </m:f>
          </m:sup>
        </m:sSup>
        <m:r>
          <w:rPr>
            <w:rFonts w:ascii="Cambria Math" w:hAnsi="Cambria Math"/>
            <w:szCs w:val="24"/>
          </w:rPr>
          <m:t>=</m:t>
        </m:r>
        <m:rad>
          <m:radPr>
            <m:ctrlPr>
              <w:rPr>
                <w:rFonts w:ascii="Cambria Math" w:hAnsi="Cambria Math"/>
                <w:i/>
                <w:szCs w:val="24"/>
              </w:rPr>
            </m:ctrlPr>
          </m:radPr>
          <m:deg>
            <m:r>
              <w:rPr>
                <w:rFonts w:ascii="Cambria Math" w:hAnsi="Cambria Math"/>
                <w:szCs w:val="24"/>
              </w:rPr>
              <m:t>3</m:t>
            </m:r>
          </m:deg>
          <m:e>
            <m:sSub>
              <m:sSubPr>
                <m:ctrlPr>
                  <w:rPr>
                    <w:rFonts w:ascii="Cambria Math" w:hAnsi="Cambria Math"/>
                    <w:i/>
                    <w:szCs w:val="24"/>
                  </w:rPr>
                </m:ctrlPr>
              </m:sSubPr>
              <m:e>
                <m:r>
                  <w:rPr>
                    <w:rFonts w:ascii="Cambria Math" w:hAnsi="Cambria Math"/>
                    <w:szCs w:val="24"/>
                  </w:rPr>
                  <m:t>V</m:t>
                </m:r>
              </m:e>
              <m:sub>
                <m:r>
                  <w:rPr>
                    <w:rFonts w:ascii="Cambria Math" w:hAnsi="Cambria Math"/>
                    <w:szCs w:val="24"/>
                  </w:rPr>
                  <m:t>Si</m:t>
                </m:r>
              </m:sub>
            </m:sSub>
          </m:e>
        </m:rad>
      </m:oMath>
      <w:r w:rsidR="00CC5EA6">
        <w:rPr>
          <w:szCs w:val="24"/>
        </w:rPr>
        <w:tab/>
      </w:r>
      <w:r w:rsidR="00E01A69">
        <w:rPr>
          <w:szCs w:val="24"/>
        </w:rPr>
        <w:tab/>
      </w:r>
      <w:r w:rsidR="00E01A69">
        <w:rPr>
          <w:szCs w:val="24"/>
        </w:rPr>
        <w:tab/>
      </w:r>
      <w:r w:rsidR="00C67838">
        <w:rPr>
          <w:szCs w:val="24"/>
        </w:rPr>
        <w:t xml:space="preserve">     </w:t>
      </w:r>
      <w:r w:rsidR="00CC5EA6">
        <w:rPr>
          <w:szCs w:val="24"/>
        </w:rPr>
        <w:t xml:space="preserve">  </w:t>
      </w:r>
      <w:r w:rsidR="005214EE">
        <w:rPr>
          <w:szCs w:val="24"/>
        </w:rPr>
        <w:t>(</w:t>
      </w:r>
      <w:r w:rsidR="003164CC">
        <w:rPr>
          <w:szCs w:val="24"/>
        </w:rPr>
        <w:t>2</w:t>
      </w:r>
      <w:r w:rsidR="005D070E">
        <w:rPr>
          <w:szCs w:val="24"/>
        </w:rPr>
        <w:t>.6</w:t>
      </w:r>
      <w:r w:rsidR="005214EE">
        <w:rPr>
          <w:szCs w:val="24"/>
        </w:rPr>
        <w:t>)</w:t>
      </w:r>
    </w:p>
    <w:p w14:paraId="37FC842B" w14:textId="31F881E0" w:rsidR="0044433C" w:rsidRDefault="0044433C" w:rsidP="006655F5">
      <w:pPr>
        <w:spacing w:line="240" w:lineRule="auto"/>
        <w:contextualSpacing/>
        <w:rPr>
          <w:szCs w:val="24"/>
        </w:rPr>
      </w:pPr>
    </w:p>
    <w:p w14:paraId="6AB87497" w14:textId="18B88917" w:rsidR="009068A6" w:rsidRDefault="00365837" w:rsidP="006655F5">
      <w:pPr>
        <w:spacing w:line="240" w:lineRule="auto"/>
        <w:contextualSpacing/>
        <w:jc w:val="both"/>
        <w:rPr>
          <w:szCs w:val="24"/>
        </w:rPr>
      </w:pPr>
      <w:r>
        <w:rPr>
          <w:szCs w:val="24"/>
        </w:rPr>
        <w:t>The case presented above represents the min</w:t>
      </w:r>
      <w:r w:rsidR="007E7CDF">
        <w:rPr>
          <w:szCs w:val="24"/>
        </w:rPr>
        <w:t>imum</w:t>
      </w:r>
      <w:r>
        <w:rPr>
          <w:szCs w:val="24"/>
        </w:rPr>
        <w:t xml:space="preserve"> possible spacing between equal samples, however the closest possible spacing case was estimated for a syst</w:t>
      </w:r>
      <w:r w:rsidR="007E7CDF">
        <w:rPr>
          <w:szCs w:val="24"/>
        </w:rPr>
        <w:t>em of spherical volume elements</w:t>
      </w:r>
      <w:r>
        <w:rPr>
          <w:szCs w:val="24"/>
        </w:rPr>
        <w:t xml:space="preserve"> arrange</w:t>
      </w:r>
      <w:r w:rsidR="003B74E3">
        <w:rPr>
          <w:szCs w:val="24"/>
        </w:rPr>
        <w:t>d</w:t>
      </w:r>
      <w:r>
        <w:rPr>
          <w:szCs w:val="24"/>
        </w:rPr>
        <w:t xml:space="preserve"> in a hexagonal close packed lattice configuration. For this case</w:t>
      </w:r>
      <w:r w:rsidR="003B74E3">
        <w:rPr>
          <w:szCs w:val="24"/>
        </w:rPr>
        <w:t xml:space="preserve">, the total volume available for each respective Si atom was normalized by a packing factor, </w:t>
      </w:r>
      <w:r w:rsidR="00AE2952">
        <w:rPr>
          <w:szCs w:val="24"/>
        </w:rPr>
        <w:t>which represents</w:t>
      </w:r>
      <w:r w:rsidR="003B74E3">
        <w:rPr>
          <w:szCs w:val="24"/>
        </w:rPr>
        <w:t xml:space="preserve"> the </w:t>
      </w:r>
      <w:r w:rsidR="00AE2952">
        <w:rPr>
          <w:szCs w:val="24"/>
        </w:rPr>
        <w:t>percentage</w:t>
      </w:r>
      <w:r w:rsidR="003B74E3">
        <w:rPr>
          <w:szCs w:val="24"/>
        </w:rPr>
        <w:t xml:space="preserve"> of space occupied by spherical elements in a </w:t>
      </w:r>
      <w:r w:rsidR="002C7AB6">
        <w:rPr>
          <w:szCs w:val="24"/>
        </w:rPr>
        <w:t>cubic unit cell.</w:t>
      </w:r>
      <w:r w:rsidR="003B74E3">
        <w:rPr>
          <w:szCs w:val="24"/>
        </w:rPr>
        <w:t xml:space="preserve"> The diameter of each of these spherical elements was then determined in Equation </w:t>
      </w:r>
      <w:r w:rsidR="003164CC">
        <w:rPr>
          <w:szCs w:val="24"/>
        </w:rPr>
        <w:t>2</w:t>
      </w:r>
      <w:r w:rsidR="003B74E3">
        <w:rPr>
          <w:szCs w:val="24"/>
        </w:rPr>
        <w:t>.</w:t>
      </w:r>
      <w:r w:rsidR="005D070E">
        <w:rPr>
          <w:szCs w:val="24"/>
        </w:rPr>
        <w:t>8</w:t>
      </w:r>
      <w:r w:rsidR="003B74E3">
        <w:rPr>
          <w:szCs w:val="24"/>
        </w:rPr>
        <w:t xml:space="preserve">, and represents a </w:t>
      </w:r>
      <w:r w:rsidR="003B74E3" w:rsidRPr="009068A6">
        <w:rPr>
          <w:i/>
          <w:iCs/>
          <w:szCs w:val="24"/>
        </w:rPr>
        <w:t>l</w:t>
      </w:r>
      <w:r w:rsidR="003B74E3" w:rsidRPr="009068A6">
        <w:rPr>
          <w:i/>
          <w:iCs/>
          <w:szCs w:val="24"/>
          <w:vertAlign w:val="subscript"/>
        </w:rPr>
        <w:t>Si-Si</w:t>
      </w:r>
      <w:r w:rsidR="003B74E3" w:rsidRPr="009068A6">
        <w:rPr>
          <w:szCs w:val="24"/>
          <w:vertAlign w:val="subscript"/>
        </w:rPr>
        <w:t xml:space="preserve"> </w:t>
      </w:r>
      <w:r w:rsidR="003B74E3">
        <w:rPr>
          <w:szCs w:val="24"/>
        </w:rPr>
        <w:t xml:space="preserve">distance 12% higher than the estimates for </w:t>
      </w:r>
      <w:r w:rsidR="009068A6">
        <w:rPr>
          <w:szCs w:val="24"/>
        </w:rPr>
        <w:t>the cubic element</w:t>
      </w:r>
      <w:r w:rsidR="005D070E">
        <w:rPr>
          <w:szCs w:val="24"/>
        </w:rPr>
        <w:t xml:space="preserve"> packing case presented above. </w:t>
      </w:r>
    </w:p>
    <w:p w14:paraId="1999D737" w14:textId="77777777" w:rsidR="00CC5EA6" w:rsidRDefault="00CC5EA6" w:rsidP="006655F5">
      <w:pPr>
        <w:spacing w:line="240" w:lineRule="auto"/>
        <w:contextualSpacing/>
        <w:jc w:val="both"/>
        <w:rPr>
          <w:szCs w:val="24"/>
        </w:rPr>
      </w:pPr>
    </w:p>
    <w:p w14:paraId="21316C50" w14:textId="35AFDB19" w:rsidR="009068A6" w:rsidRDefault="00E87563" w:rsidP="006655F5">
      <w:pPr>
        <w:spacing w:line="240" w:lineRule="auto"/>
        <w:contextualSpacing/>
        <w:jc w:val="right"/>
        <w:rPr>
          <w:szCs w:val="24"/>
        </w:rPr>
      </w:pPr>
      <m:oMath>
        <m:sSub>
          <m:sSubPr>
            <m:ctrlPr>
              <w:rPr>
                <w:rFonts w:ascii="Cambria Math" w:hAnsi="Cambria Math"/>
                <w:i/>
                <w:szCs w:val="24"/>
              </w:rPr>
            </m:ctrlPr>
          </m:sSubPr>
          <m:e>
            <m:r>
              <w:rPr>
                <w:rFonts w:ascii="Cambria Math" w:hAnsi="Cambria Math"/>
                <w:szCs w:val="24"/>
              </w:rPr>
              <m:t>V</m:t>
            </m:r>
          </m:e>
          <m:sub>
            <m:r>
              <w:rPr>
                <w:rFonts w:ascii="Cambria Math" w:hAnsi="Cambria Math"/>
                <w:szCs w:val="24"/>
              </w:rPr>
              <m:t>si,s</m:t>
            </m:r>
          </m:sub>
        </m:sSub>
        <m:r>
          <w:rPr>
            <w:rFonts w:ascii="Cambria Math" w:hAnsi="Cambria Math"/>
            <w:szCs w:val="24"/>
          </w:rPr>
          <m:t>=</m:t>
        </m:r>
        <m:f>
          <m:fPr>
            <m:ctrlPr>
              <w:rPr>
                <w:rFonts w:ascii="Cambria Math" w:hAnsi="Cambria Math"/>
                <w:i/>
                <w:szCs w:val="24"/>
              </w:rPr>
            </m:ctrlPr>
          </m:fPr>
          <m:num>
            <m:r>
              <w:rPr>
                <w:rFonts w:ascii="Cambria Math" w:hAnsi="Cambria Math"/>
                <w:szCs w:val="24"/>
              </w:rPr>
              <m:t>π</m:t>
            </m:r>
            <m:sSub>
              <m:sSubPr>
                <m:ctrlPr>
                  <w:rPr>
                    <w:rFonts w:ascii="Cambria Math" w:hAnsi="Cambria Math"/>
                    <w:i/>
                    <w:szCs w:val="24"/>
                  </w:rPr>
                </m:ctrlPr>
              </m:sSubPr>
              <m:e>
                <m:r>
                  <w:rPr>
                    <w:rFonts w:ascii="Cambria Math" w:hAnsi="Cambria Math"/>
                    <w:szCs w:val="24"/>
                  </w:rPr>
                  <m:t>V</m:t>
                </m:r>
              </m:e>
              <m:sub>
                <m:r>
                  <w:rPr>
                    <w:rFonts w:ascii="Cambria Math" w:hAnsi="Cambria Math"/>
                    <w:szCs w:val="24"/>
                  </w:rPr>
                  <m:t>Si</m:t>
                </m:r>
              </m:sub>
            </m:sSub>
          </m:num>
          <m:den>
            <m:r>
              <w:rPr>
                <w:rFonts w:ascii="Cambria Math" w:hAnsi="Cambria Math"/>
                <w:szCs w:val="24"/>
              </w:rPr>
              <m:t>3</m:t>
            </m:r>
            <m:rad>
              <m:radPr>
                <m:degHide m:val="1"/>
                <m:ctrlPr>
                  <w:rPr>
                    <w:rFonts w:ascii="Cambria Math" w:hAnsi="Cambria Math"/>
                    <w:i/>
                    <w:szCs w:val="24"/>
                  </w:rPr>
                </m:ctrlPr>
              </m:radPr>
              <m:deg/>
              <m:e>
                <m:r>
                  <w:rPr>
                    <w:rFonts w:ascii="Cambria Math" w:hAnsi="Cambria Math"/>
                    <w:szCs w:val="24"/>
                  </w:rPr>
                  <m:t>2</m:t>
                </m:r>
              </m:e>
            </m:rad>
          </m:den>
        </m:f>
      </m:oMath>
      <w:r w:rsidR="009068A6">
        <w:rPr>
          <w:szCs w:val="24"/>
        </w:rPr>
        <w:t xml:space="preserve">                               </w:t>
      </w:r>
      <w:r w:rsidR="005D070E">
        <w:rPr>
          <w:szCs w:val="24"/>
        </w:rPr>
        <w:t xml:space="preserve">                            (</w:t>
      </w:r>
      <w:r w:rsidR="003164CC">
        <w:rPr>
          <w:szCs w:val="24"/>
        </w:rPr>
        <w:t>2</w:t>
      </w:r>
      <w:r w:rsidR="005D070E">
        <w:rPr>
          <w:szCs w:val="24"/>
        </w:rPr>
        <w:t>.7</w:t>
      </w:r>
      <w:r w:rsidR="009068A6">
        <w:rPr>
          <w:szCs w:val="24"/>
        </w:rPr>
        <w:t>)</w:t>
      </w:r>
    </w:p>
    <w:p w14:paraId="73B119AA" w14:textId="77777777" w:rsidR="00116DC0" w:rsidRDefault="00116DC0" w:rsidP="006655F5">
      <w:pPr>
        <w:spacing w:line="240" w:lineRule="auto"/>
        <w:contextualSpacing/>
        <w:jc w:val="right"/>
        <w:rPr>
          <w:szCs w:val="24"/>
        </w:rPr>
      </w:pPr>
    </w:p>
    <w:p w14:paraId="24245FF4" w14:textId="48415221" w:rsidR="009068A6" w:rsidRDefault="00E87563" w:rsidP="006655F5">
      <w:pPr>
        <w:spacing w:line="240" w:lineRule="auto"/>
        <w:contextualSpacing/>
        <w:jc w:val="right"/>
        <w:rPr>
          <w:szCs w:val="24"/>
        </w:rPr>
      </w:pPr>
      <m:oMath>
        <m:sSub>
          <m:sSubPr>
            <m:ctrlPr>
              <w:rPr>
                <w:rFonts w:ascii="Cambria Math" w:hAnsi="Cambria Math"/>
                <w:i/>
                <w:szCs w:val="24"/>
              </w:rPr>
            </m:ctrlPr>
          </m:sSubPr>
          <m:e>
            <m:r>
              <w:rPr>
                <w:rFonts w:ascii="Cambria Math" w:hAnsi="Cambria Math"/>
                <w:szCs w:val="24"/>
              </w:rPr>
              <m:t>l</m:t>
            </m:r>
          </m:e>
          <m:sub>
            <m:r>
              <w:rPr>
                <w:rFonts w:ascii="Cambria Math" w:hAnsi="Cambria Math"/>
                <w:szCs w:val="24"/>
              </w:rPr>
              <m:t>Si-Si</m:t>
            </m:r>
          </m:sub>
        </m:sSub>
        <m:r>
          <w:rPr>
            <w:rFonts w:ascii="Cambria Math" w:hAnsi="Cambria Math"/>
            <w:szCs w:val="24"/>
          </w:rPr>
          <m:t>=2∙</m:t>
        </m:r>
        <m:rad>
          <m:radPr>
            <m:ctrlPr>
              <w:rPr>
                <w:rFonts w:ascii="Cambria Math" w:hAnsi="Cambria Math"/>
                <w:i/>
                <w:szCs w:val="24"/>
              </w:rPr>
            </m:ctrlPr>
          </m:radPr>
          <m:deg>
            <m:r>
              <w:rPr>
                <w:rFonts w:ascii="Cambria Math" w:hAnsi="Cambria Math"/>
                <w:szCs w:val="24"/>
              </w:rPr>
              <m:t>3</m:t>
            </m:r>
          </m:deg>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3V</m:t>
                    </m:r>
                  </m:e>
                  <m:sub>
                    <m:r>
                      <w:rPr>
                        <w:rFonts w:ascii="Cambria Math" w:hAnsi="Cambria Math"/>
                        <w:szCs w:val="24"/>
                      </w:rPr>
                      <m:t>Si,s</m:t>
                    </m:r>
                  </m:sub>
                </m:sSub>
              </m:num>
              <m:den>
                <m:r>
                  <w:rPr>
                    <w:rFonts w:ascii="Cambria Math" w:hAnsi="Cambria Math"/>
                    <w:szCs w:val="24"/>
                  </w:rPr>
                  <m:t>4π</m:t>
                </m:r>
              </m:den>
            </m:f>
          </m:e>
        </m:rad>
        <m:r>
          <w:rPr>
            <w:rFonts w:ascii="Cambria Math" w:hAnsi="Cambria Math"/>
            <w:szCs w:val="24"/>
          </w:rPr>
          <m:t xml:space="preserve"> </m:t>
        </m:r>
      </m:oMath>
      <w:r w:rsidR="009068A6">
        <w:rPr>
          <w:szCs w:val="24"/>
        </w:rPr>
        <w:t xml:space="preserve">                        </w:t>
      </w:r>
      <w:r w:rsidR="005D070E">
        <w:rPr>
          <w:szCs w:val="24"/>
        </w:rPr>
        <w:t xml:space="preserve">                            (</w:t>
      </w:r>
      <w:r w:rsidR="003164CC">
        <w:rPr>
          <w:szCs w:val="24"/>
        </w:rPr>
        <w:t>2</w:t>
      </w:r>
      <w:r w:rsidR="005D070E">
        <w:rPr>
          <w:szCs w:val="24"/>
        </w:rPr>
        <w:t>.8</w:t>
      </w:r>
      <w:r w:rsidR="009068A6">
        <w:rPr>
          <w:szCs w:val="24"/>
        </w:rPr>
        <w:t>)</w:t>
      </w:r>
    </w:p>
    <w:p w14:paraId="4555B822" w14:textId="77777777" w:rsidR="00CC5EA6" w:rsidRDefault="00CC5EA6" w:rsidP="006655F5">
      <w:pPr>
        <w:spacing w:line="240" w:lineRule="auto"/>
        <w:contextualSpacing/>
        <w:jc w:val="right"/>
        <w:rPr>
          <w:szCs w:val="24"/>
        </w:rPr>
      </w:pPr>
    </w:p>
    <w:p w14:paraId="41E4C9A1" w14:textId="791BF480" w:rsidR="002D5F21" w:rsidRDefault="002D5F21" w:rsidP="006655F5">
      <w:pPr>
        <w:spacing w:line="240" w:lineRule="auto"/>
        <w:contextualSpacing/>
        <w:jc w:val="both"/>
        <w:rPr>
          <w:szCs w:val="24"/>
        </w:rPr>
      </w:pPr>
      <w:r>
        <w:rPr>
          <w:szCs w:val="24"/>
        </w:rPr>
        <w:t xml:space="preserve">As the exact orientation of the Si molecules in the overlayers were not quantitatively analyzed, Figure S9 below plots the permeability of each species (estimated using the correlations in section IV) against the average </w:t>
      </w:r>
      <w:r w:rsidRPr="00655ADB">
        <w:rPr>
          <w:i/>
          <w:iCs/>
          <w:szCs w:val="24"/>
        </w:rPr>
        <w:t>l</w:t>
      </w:r>
      <w:r w:rsidRPr="00655ADB">
        <w:rPr>
          <w:i/>
          <w:iCs/>
          <w:szCs w:val="24"/>
          <w:vertAlign w:val="subscript"/>
        </w:rPr>
        <w:t>Si-Si</w:t>
      </w:r>
      <w:r w:rsidRPr="00655ADB">
        <w:rPr>
          <w:szCs w:val="24"/>
          <w:vertAlign w:val="subscript"/>
        </w:rPr>
        <w:t xml:space="preserve"> </w:t>
      </w:r>
      <w:r w:rsidR="005D070E">
        <w:rPr>
          <w:szCs w:val="24"/>
        </w:rPr>
        <w:t xml:space="preserve">distance from both Equation </w:t>
      </w:r>
      <w:r w:rsidR="003164CC">
        <w:rPr>
          <w:szCs w:val="24"/>
        </w:rPr>
        <w:t>2</w:t>
      </w:r>
      <w:r w:rsidR="005D070E">
        <w:rPr>
          <w:szCs w:val="24"/>
        </w:rPr>
        <w:t xml:space="preserve">.6 and </w:t>
      </w:r>
      <w:r w:rsidR="003164CC">
        <w:rPr>
          <w:szCs w:val="24"/>
        </w:rPr>
        <w:t>2</w:t>
      </w:r>
      <w:r w:rsidR="005D070E">
        <w:rPr>
          <w:szCs w:val="24"/>
        </w:rPr>
        <w:t>.8</w:t>
      </w:r>
      <w:r>
        <w:rPr>
          <w:szCs w:val="24"/>
        </w:rPr>
        <w:t xml:space="preserve">, with </w:t>
      </w:r>
      <w:r w:rsidR="007E7CDF">
        <w:rPr>
          <w:szCs w:val="24"/>
        </w:rPr>
        <w:t xml:space="preserve">x-axis </w:t>
      </w:r>
      <w:r>
        <w:rPr>
          <w:szCs w:val="24"/>
        </w:rPr>
        <w:t xml:space="preserve">error bars representing the maximum and minimum possible spacing estimates. </w:t>
      </w:r>
    </w:p>
    <w:p w14:paraId="536B177E" w14:textId="2EB60014" w:rsidR="009068A6" w:rsidRDefault="009068A6" w:rsidP="008E6B7D">
      <w:pPr>
        <w:spacing w:line="360" w:lineRule="auto"/>
        <w:contextualSpacing/>
        <w:rPr>
          <w:szCs w:val="24"/>
        </w:rPr>
      </w:pPr>
    </w:p>
    <w:p w14:paraId="66EF0395" w14:textId="4DA75398" w:rsidR="008F4948" w:rsidRDefault="008F4948" w:rsidP="008F4948">
      <w:pPr>
        <w:contextualSpacing/>
        <w:jc w:val="both"/>
        <w:rPr>
          <w:szCs w:val="24"/>
        </w:rPr>
      </w:pPr>
    </w:p>
    <w:p w14:paraId="273EBCF9" w14:textId="25C52CDA" w:rsidR="00884BB8" w:rsidRDefault="0021319C" w:rsidP="00884BB8">
      <w:pPr>
        <w:contextualSpacing/>
        <w:jc w:val="center"/>
        <w:rPr>
          <w:color w:val="FF0000"/>
          <w:szCs w:val="24"/>
        </w:rPr>
      </w:pPr>
      <w:r>
        <w:rPr>
          <w:noProof/>
        </w:rPr>
        <w:lastRenderedPageBreak/>
        <w:drawing>
          <wp:inline distT="0" distB="0" distL="0" distR="0" wp14:anchorId="185679B2" wp14:editId="4887549D">
            <wp:extent cx="2905125" cy="22098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05125" cy="2209800"/>
                    </a:xfrm>
                    <a:prstGeom prst="rect">
                      <a:avLst/>
                    </a:prstGeom>
                  </pic:spPr>
                </pic:pic>
              </a:graphicData>
            </a:graphic>
          </wp:inline>
        </w:drawing>
      </w:r>
    </w:p>
    <w:p w14:paraId="471AC8F5" w14:textId="699685BA" w:rsidR="00884BB8" w:rsidRPr="008E6B7D" w:rsidRDefault="008E6B7D" w:rsidP="008E6B7D">
      <w:pPr>
        <w:spacing w:line="240" w:lineRule="auto"/>
        <w:contextualSpacing/>
        <w:jc w:val="both"/>
        <w:rPr>
          <w:szCs w:val="24"/>
        </w:rPr>
      </w:pPr>
      <w:r w:rsidRPr="0084009F">
        <w:rPr>
          <w:b/>
          <w:szCs w:val="24"/>
        </w:rPr>
        <w:t>Figure S9</w:t>
      </w:r>
      <w:r w:rsidR="00884BB8" w:rsidRPr="0084009F">
        <w:rPr>
          <w:b/>
          <w:szCs w:val="24"/>
        </w:rPr>
        <w:t>.</w:t>
      </w:r>
      <w:r w:rsidR="00884BB8" w:rsidRPr="0084009F">
        <w:rPr>
          <w:szCs w:val="24"/>
        </w:rPr>
        <w:t xml:space="preserve"> Calculated proton and oxygen permeabilit</w:t>
      </w:r>
      <w:r w:rsidR="00B84210" w:rsidRPr="0084009F">
        <w:rPr>
          <w:szCs w:val="24"/>
        </w:rPr>
        <w:t>ies through SiO</w:t>
      </w:r>
      <w:r w:rsidR="00B84210" w:rsidRPr="0084009F">
        <w:rPr>
          <w:szCs w:val="24"/>
          <w:vertAlign w:val="subscript"/>
        </w:rPr>
        <w:t>x</w:t>
      </w:r>
      <w:r w:rsidR="00B84210" w:rsidRPr="0084009F">
        <w:rPr>
          <w:szCs w:val="24"/>
        </w:rPr>
        <w:t>C</w:t>
      </w:r>
      <w:r w:rsidR="00B84210" w:rsidRPr="0084009F">
        <w:rPr>
          <w:szCs w:val="24"/>
          <w:vertAlign w:val="subscript"/>
        </w:rPr>
        <w:t>y</w:t>
      </w:r>
      <w:r w:rsidR="00B84210" w:rsidRPr="0084009F">
        <w:rPr>
          <w:szCs w:val="24"/>
        </w:rPr>
        <w:t xml:space="preserve"> overlayers plotted </w:t>
      </w:r>
      <w:r w:rsidR="00884BB8" w:rsidRPr="0084009F">
        <w:rPr>
          <w:szCs w:val="24"/>
        </w:rPr>
        <w:t xml:space="preserve">versus </w:t>
      </w:r>
      <w:r w:rsidR="00B84210" w:rsidRPr="0084009F">
        <w:rPr>
          <w:szCs w:val="24"/>
        </w:rPr>
        <w:t>the</w:t>
      </w:r>
      <w:r w:rsidR="00884BB8" w:rsidRPr="0084009F">
        <w:rPr>
          <w:szCs w:val="24"/>
        </w:rPr>
        <w:t xml:space="preserve"> </w:t>
      </w:r>
      <w:r w:rsidR="0082012A" w:rsidRPr="0084009F">
        <w:rPr>
          <w:szCs w:val="24"/>
        </w:rPr>
        <w:t>minimum</w:t>
      </w:r>
      <w:r w:rsidR="00C03E3A" w:rsidRPr="0084009F">
        <w:rPr>
          <w:szCs w:val="24"/>
        </w:rPr>
        <w:t xml:space="preserve"> nearest neighbor </w:t>
      </w:r>
      <w:r w:rsidR="00884BB8" w:rsidRPr="0084009F">
        <w:rPr>
          <w:szCs w:val="24"/>
        </w:rPr>
        <w:t>Si-Si spacing</w:t>
      </w:r>
      <w:r w:rsidR="00C03E3A" w:rsidRPr="0084009F">
        <w:rPr>
          <w:szCs w:val="24"/>
        </w:rPr>
        <w:t xml:space="preserve"> (</w:t>
      </w:r>
      <w:r w:rsidR="00C03E3A" w:rsidRPr="0084009F">
        <w:rPr>
          <w:i/>
          <w:iCs/>
          <w:szCs w:val="24"/>
        </w:rPr>
        <w:t>l</w:t>
      </w:r>
      <w:r w:rsidR="00C03E3A" w:rsidRPr="0084009F">
        <w:rPr>
          <w:i/>
          <w:iCs/>
          <w:szCs w:val="24"/>
          <w:vertAlign w:val="subscript"/>
        </w:rPr>
        <w:t>Si-Si</w:t>
      </w:r>
      <w:r w:rsidR="00C03E3A" w:rsidRPr="0084009F">
        <w:rPr>
          <w:szCs w:val="24"/>
        </w:rPr>
        <w:t>)</w:t>
      </w:r>
      <w:r w:rsidR="00B84210" w:rsidRPr="0084009F">
        <w:rPr>
          <w:szCs w:val="24"/>
        </w:rPr>
        <w:t>, which was estimated based on the analysis described in the text accompanying this figure</w:t>
      </w:r>
      <w:r w:rsidRPr="0084009F">
        <w:rPr>
          <w:szCs w:val="24"/>
        </w:rPr>
        <w:t>.</w:t>
      </w:r>
      <w:r w:rsidR="00B84210" w:rsidRPr="0084009F">
        <w:rPr>
          <w:szCs w:val="24"/>
        </w:rPr>
        <w:t xml:space="preserve"> The data points corresponding to the largest and smallest Si-Si spacing distances correspond to the samples based on the low- and high- cure time processing, respectively.</w:t>
      </w:r>
      <w:r w:rsidR="002D5F21" w:rsidRPr="0084009F">
        <w:rPr>
          <w:szCs w:val="24"/>
        </w:rPr>
        <w:t xml:space="preserve"> X-axis error bars denote the maximum and minimum calculated Si-Si distance using</w:t>
      </w:r>
      <w:r w:rsidR="00655ADB" w:rsidRPr="0084009F">
        <w:rPr>
          <w:szCs w:val="24"/>
        </w:rPr>
        <w:t xml:space="preserve">, while y-axis error bars denote the estimates for permeability detailed in </w:t>
      </w:r>
      <w:r w:rsidR="002C7AB6">
        <w:rPr>
          <w:szCs w:val="24"/>
        </w:rPr>
        <w:t>S</w:t>
      </w:r>
      <w:r w:rsidR="00655ADB" w:rsidRPr="0084009F">
        <w:rPr>
          <w:szCs w:val="24"/>
        </w:rPr>
        <w:t xml:space="preserve">ection </w:t>
      </w:r>
      <w:r w:rsidR="002C7AB6">
        <w:rPr>
          <w:szCs w:val="24"/>
        </w:rPr>
        <w:t>III</w:t>
      </w:r>
      <w:r w:rsidR="00655ADB" w:rsidRPr="0084009F">
        <w:rPr>
          <w:szCs w:val="24"/>
        </w:rPr>
        <w:t>.</w:t>
      </w:r>
      <w:r w:rsidR="00655ADB">
        <w:rPr>
          <w:szCs w:val="24"/>
        </w:rPr>
        <w:t xml:space="preserve"> </w:t>
      </w:r>
    </w:p>
    <w:p w14:paraId="0E90396A" w14:textId="77777777" w:rsidR="00217694" w:rsidRPr="00217694" w:rsidRDefault="00217694" w:rsidP="00217694"/>
    <w:p w14:paraId="0ACF085D" w14:textId="77777777" w:rsidR="00217694" w:rsidRPr="00217694" w:rsidRDefault="00217694" w:rsidP="009C19A2">
      <w:pPr>
        <w:pStyle w:val="Heading1"/>
      </w:pPr>
      <w:r w:rsidRPr="00217694">
        <w:t>Description of Permeability Calculations</w:t>
      </w:r>
    </w:p>
    <w:p w14:paraId="306D584E" w14:textId="594C4010" w:rsidR="004027A6" w:rsidRDefault="00B045C2" w:rsidP="006655F5">
      <w:pPr>
        <w:spacing w:line="240" w:lineRule="auto"/>
        <w:jc w:val="both"/>
      </w:pPr>
      <w:r>
        <w:t>The permeabilities of O</w:t>
      </w:r>
      <w:r>
        <w:rPr>
          <w:vertAlign w:val="subscript"/>
        </w:rPr>
        <w:t>2</w:t>
      </w:r>
      <w:r>
        <w:t xml:space="preserve"> and H</w:t>
      </w:r>
      <w:r>
        <w:rPr>
          <w:vertAlign w:val="superscript"/>
        </w:rPr>
        <w:t>+</w:t>
      </w:r>
      <w:r>
        <w:t xml:space="preserve"> species through SiO</w:t>
      </w:r>
      <w:r>
        <w:rPr>
          <w:vertAlign w:val="subscript"/>
        </w:rPr>
        <w:t>x</w:t>
      </w:r>
      <w:r>
        <w:t>C</w:t>
      </w:r>
      <w:r>
        <w:rPr>
          <w:vertAlign w:val="subscript"/>
        </w:rPr>
        <w:t>y</w:t>
      </w:r>
      <w:r>
        <w:t xml:space="preserve"> overlayers were determined from the mass transfer limited current density observed from the CV/LSV measurements of either HER or ORR in a standard electrochemical 3 neck flask under 200 rpm of stirring supplied by a Teflon stir bar. Electrodes were cut to be similar in size, and their location relative to the counter and reference electrode were kept consistent across all measurements. Permeability coefficients for this work were calculated following the methodology outlined in section II o</w:t>
      </w:r>
      <w:r w:rsidR="00962F1D">
        <w:t>f reference 7,</w:t>
      </w:r>
      <w:r w:rsidR="008B109F">
        <w:fldChar w:fldCharType="begin" w:fldLock="1"/>
      </w:r>
      <w:r w:rsidR="00C40602">
        <w:instrText>ADDIN CSL_CITATION {"citationItems":[{"id":"ITEM-1","itemData":{"DOI":"10.1021/acscatal.7b03374","ISBN":"2155-5435","ISSN":"21555435","abstract":"Significant experimental and computational challenges remain, but if this vision for the rational design of MCECs can be achieved, a tunable electrocatalyt architecture will have been developed that has great potential to achieve high stability, activity, and selectivity for a wide range of electrocatalytic reactions.","author":[{"dropping-particle":"V.","family":"Esposito","given":"Daniel","non-dropping-particle":"","parse-names":false,"suffix":""}],"container-title":"ACS Catalysis","id":"ITEM-1","issue":"1","issued":{"date-parts":[["2018"]]},"page":"457–465","title":"Membrane-Coated Electrocatalysts - An Alternative Approach to Achieving Stable and Tunable Electrocatalysis","type":"article","volume":"8"},"uris":["http://www.mendeley.com/documents/?uuid=5df9e8c9-9c07-3e58-b46f-d7d2f433c671"]}],"mendeley":{"formattedCitation":"&lt;sup&gt;[7]&lt;/sup&gt;","plainTextFormattedCitation":"[7]","previouslyFormattedCitation":"&lt;sup&gt;[7]&lt;/sup&gt;"},"properties":{"noteIndex":0},"schema":"https://github.com/citation-style-language/schema/raw/master/csl-citation.json"}</w:instrText>
      </w:r>
      <w:r w:rsidR="008B109F">
        <w:fldChar w:fldCharType="separate"/>
      </w:r>
      <w:r w:rsidR="008B109F" w:rsidRPr="008B109F">
        <w:rPr>
          <w:noProof/>
          <w:vertAlign w:val="superscript"/>
        </w:rPr>
        <w:t>[7]</w:t>
      </w:r>
      <w:r w:rsidR="008B109F">
        <w:fldChar w:fldCharType="end"/>
      </w:r>
      <w:r>
        <w:t xml:space="preserve"> which is based on similar analysis from Bard and Faulkner.</w:t>
      </w:r>
      <w:r w:rsidR="008B109F">
        <w:fldChar w:fldCharType="begin" w:fldLock="1"/>
      </w:r>
      <w:r w:rsidR="008B109F">
        <w:instrText>ADDIN CSL_CITATION {"citationItems":[{"id":"ITEM-1","itemData":{"author":[{"dropping-particle":"","family":"Bard","given":"Allen","non-dropping-particle":"","parse-names":false,"suffix":""},{"dropping-particle":"","family":"Faulkner","given":"Larry","non-dropping-particle":"","parse-names":false,"suffix":""}],"edition":"Second","editor":[{"dropping-particle":"","family":"Harris","given":"David","non-dropping-particle":"","parse-names":false,"suffix":""},{"dropping-particle":"","family":"Swain","given":"Elizabeth","non-dropping-particle":"","parse-names":false,"suffix":""},{"dropping-particle":"","family":"Aiello","given":"Eugene","non-dropping-particle":"","parse-names":false,"suffix":""}],"id":"ITEM-1","issued":{"date-parts":[["2001"]]},"publisher":"John Wiley &amp; Sons, Inc.","title":"Electrochemical Methods","type":"book"},"uris":["http://www.mendeley.com/documents/?uuid=746734d6-0503-4010-9750-ffe29e504dec"]}],"mendeley":{"formattedCitation":"&lt;sup&gt;[8]&lt;/sup&gt;","plainTextFormattedCitation":"[8]","previouslyFormattedCitation":"&lt;sup&gt;[8]&lt;/sup&gt;"},"properties":{"noteIndex":0},"schema":"https://github.com/citation-style-language/schema/raw/master/csl-citation.json"}</w:instrText>
      </w:r>
      <w:r w:rsidR="008B109F">
        <w:fldChar w:fldCharType="separate"/>
      </w:r>
      <w:r w:rsidR="008B109F" w:rsidRPr="008B109F">
        <w:rPr>
          <w:noProof/>
          <w:vertAlign w:val="superscript"/>
        </w:rPr>
        <w:t>[8]</w:t>
      </w:r>
      <w:r w:rsidR="008B109F">
        <w:fldChar w:fldCharType="end"/>
      </w:r>
      <w:r w:rsidDel="008D33D8">
        <w:t xml:space="preserve"> </w:t>
      </w:r>
      <w:r>
        <w:t>Key assumptions and equations are briefly restated in this section.</w:t>
      </w:r>
    </w:p>
    <w:p w14:paraId="6F4D9432" w14:textId="77777777" w:rsidR="00B045C2" w:rsidRDefault="00B045C2" w:rsidP="008E6B7D">
      <w:pPr>
        <w:spacing w:line="360" w:lineRule="auto"/>
        <w:jc w:val="both"/>
      </w:pPr>
    </w:p>
    <w:p w14:paraId="10A2FDEE" w14:textId="42375403" w:rsidR="004027A6" w:rsidRPr="004027A6" w:rsidRDefault="004027A6" w:rsidP="008E6B7D">
      <w:pPr>
        <w:spacing w:line="360" w:lineRule="auto"/>
        <w:jc w:val="both"/>
        <w:rPr>
          <w:b/>
          <w:bCs/>
        </w:rPr>
      </w:pPr>
      <w:r w:rsidRPr="004027A6">
        <w:rPr>
          <w:b/>
          <w:bCs/>
        </w:rPr>
        <w:t xml:space="preserve">4.1 Calculating </w:t>
      </w:r>
      <w:r w:rsidR="001519DE">
        <w:rPr>
          <w:b/>
          <w:bCs/>
        </w:rPr>
        <w:t>Mass Transport Coefficients</w:t>
      </w:r>
      <w:r w:rsidRPr="004027A6">
        <w:rPr>
          <w:b/>
          <w:bCs/>
        </w:rPr>
        <w:t xml:space="preserve"> for Bare Pt Electrode</w:t>
      </w:r>
      <w:r w:rsidR="001519DE">
        <w:rPr>
          <w:b/>
          <w:bCs/>
        </w:rPr>
        <w:t>s</w:t>
      </w:r>
      <w:r w:rsidRPr="004027A6">
        <w:rPr>
          <w:b/>
          <w:bCs/>
        </w:rPr>
        <w:t xml:space="preserve"> </w:t>
      </w:r>
    </w:p>
    <w:p w14:paraId="2295D048" w14:textId="6CA15D16" w:rsidR="00217694" w:rsidRDefault="00217694" w:rsidP="006655F5">
      <w:pPr>
        <w:spacing w:line="240" w:lineRule="auto"/>
        <w:jc w:val="both"/>
      </w:pPr>
      <w:r>
        <w:t xml:space="preserve">For an unencapsulated, </w:t>
      </w:r>
      <w:r w:rsidR="00677A44">
        <w:t xml:space="preserve">planar </w:t>
      </w:r>
      <w:r>
        <w:t>bare Pt electrode,</w:t>
      </w:r>
      <w:r w:rsidR="005A4349">
        <w:t xml:space="preserve"> the flux of species j (</w:t>
      </w:r>
      <w:r w:rsidR="005A4349" w:rsidRPr="0084009F">
        <w:rPr>
          <w:i/>
        </w:rPr>
        <w:t>N</w:t>
      </w:r>
      <w:r w:rsidR="005A4349" w:rsidRPr="0084009F">
        <w:rPr>
          <w:i/>
          <w:vertAlign w:val="subscript"/>
        </w:rPr>
        <w:t>j</w:t>
      </w:r>
      <w:r w:rsidR="005A4349">
        <w:t xml:space="preserve">) can be </w:t>
      </w:r>
      <w:r w:rsidR="00677A44">
        <w:t xml:space="preserve">described by the </w:t>
      </w:r>
      <w:r w:rsidR="005A4349">
        <w:t>1</w:t>
      </w:r>
      <w:r w:rsidR="004027A6">
        <w:t>-</w:t>
      </w:r>
      <w:r w:rsidR="005A4349">
        <w:t xml:space="preserve">dimensional </w:t>
      </w:r>
      <w:r w:rsidR="00677A44">
        <w:t xml:space="preserve">form of </w:t>
      </w:r>
      <w:r w:rsidR="005A4349">
        <w:t>the Nernst-Plank equation</w:t>
      </w:r>
      <w:r w:rsidR="00677A44">
        <w:t>:</w:t>
      </w:r>
    </w:p>
    <w:p w14:paraId="057D12A7" w14:textId="77777777" w:rsidR="00CC5EA6" w:rsidRDefault="00CC5EA6" w:rsidP="006655F5">
      <w:pPr>
        <w:spacing w:line="240" w:lineRule="auto"/>
        <w:jc w:val="both"/>
      </w:pPr>
    </w:p>
    <w:p w14:paraId="68640E14" w14:textId="407FB854" w:rsidR="00217694" w:rsidRDefault="00E87563" w:rsidP="006655F5">
      <w:pPr>
        <w:spacing w:line="240" w:lineRule="auto"/>
        <w:jc w:val="right"/>
      </w:pPr>
      <m:oMath>
        <m:sSub>
          <m:sSubPr>
            <m:ctrlPr>
              <w:rPr>
                <w:rFonts w:ascii="Cambria Math" w:hAnsi="Cambria Math"/>
                <w:i/>
              </w:rPr>
            </m:ctrlPr>
          </m:sSubPr>
          <m:e>
            <m:r>
              <w:rPr>
                <w:rFonts w:ascii="Cambria Math" w:hAnsi="Cambria Math"/>
              </w:rPr>
              <m:t>N</m:t>
            </m:r>
          </m:e>
          <m:sub>
            <m:r>
              <w:rPr>
                <w:rFonts w:ascii="Cambria Math" w:hAnsi="Cambria Math"/>
              </w:rPr>
              <m:t>j</m:t>
            </m:r>
          </m:sub>
        </m:sSub>
        <m:d>
          <m:dPr>
            <m:ctrlPr>
              <w:rPr>
                <w:rFonts w:ascii="Cambria Math" w:hAnsi="Cambria Math"/>
                <w:i/>
              </w:rPr>
            </m:ctrlPr>
          </m:dPr>
          <m:e>
            <m:r>
              <w:rPr>
                <w:rFonts w:ascii="Cambria Math" w:hAnsi="Cambria Math"/>
              </w:rPr>
              <m:t>x</m:t>
            </m:r>
          </m:e>
        </m:d>
        <m:r>
          <w:rPr>
            <w:rFonts w:ascii="Cambria Math" w:hAnsi="Cambria Math"/>
          </w:rPr>
          <m:t>= -</m:t>
        </m:r>
        <m:sSub>
          <m:sSubPr>
            <m:ctrlPr>
              <w:rPr>
                <w:rFonts w:ascii="Cambria Math" w:hAnsi="Cambria Math"/>
                <w:i/>
              </w:rPr>
            </m:ctrlPr>
          </m:sSubPr>
          <m:e>
            <m:r>
              <w:rPr>
                <w:rFonts w:ascii="Cambria Math" w:hAnsi="Cambria Math"/>
              </w:rPr>
              <m:t>D</m:t>
            </m:r>
          </m:e>
          <m:sub>
            <m:r>
              <w:rPr>
                <w:rFonts w:ascii="Cambria Math" w:hAnsi="Cambria Math"/>
              </w:rPr>
              <m:t xml:space="preserve">e,j </m:t>
            </m:r>
          </m:sub>
        </m:sSub>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C</m:t>
                </m:r>
              </m:e>
              <m:sub>
                <m:r>
                  <w:rPr>
                    <w:rFonts w:ascii="Cambria Math" w:hAnsi="Cambria Math"/>
                  </w:rPr>
                  <m:t>j</m:t>
                </m:r>
              </m:sub>
            </m:sSub>
            <m:d>
              <m:dPr>
                <m:ctrlPr>
                  <w:rPr>
                    <w:rFonts w:ascii="Cambria Math" w:hAnsi="Cambria Math"/>
                    <w:i/>
                  </w:rPr>
                </m:ctrlPr>
              </m:dPr>
              <m:e>
                <m:r>
                  <w:rPr>
                    <w:rFonts w:ascii="Cambria Math" w:hAnsi="Cambria Math"/>
                  </w:rPr>
                  <m:t>x</m:t>
                </m:r>
              </m:e>
            </m:d>
          </m:num>
          <m:den>
            <m:r>
              <w:rPr>
                <w:rFonts w:ascii="Cambria Math" w:hAnsi="Cambria Math"/>
              </w:rPr>
              <m:t>dx</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j</m:t>
                </m:r>
              </m:sub>
            </m:sSub>
            <m:r>
              <w:rPr>
                <w:rFonts w:ascii="Cambria Math" w:hAnsi="Cambria Math"/>
              </w:rPr>
              <m:t>F</m:t>
            </m:r>
          </m:num>
          <m:den>
            <m:r>
              <w:rPr>
                <w:rFonts w:ascii="Cambria Math" w:hAnsi="Cambria Math"/>
              </w:rPr>
              <m:t>RT</m:t>
            </m:r>
          </m:den>
        </m:f>
        <m:sSub>
          <m:sSubPr>
            <m:ctrlPr>
              <w:rPr>
                <w:rFonts w:ascii="Cambria Math" w:hAnsi="Cambria Math"/>
                <w:i/>
              </w:rPr>
            </m:ctrlPr>
          </m:sSubPr>
          <m:e>
            <m:r>
              <w:rPr>
                <w:rFonts w:ascii="Cambria Math" w:hAnsi="Cambria Math"/>
              </w:rPr>
              <m:t>D</m:t>
            </m:r>
          </m:e>
          <m:sub>
            <m:r>
              <w:rPr>
                <w:rFonts w:ascii="Cambria Math" w:hAnsi="Cambria Math"/>
              </w:rPr>
              <m:t>e,j</m:t>
            </m:r>
          </m:sub>
        </m:sSub>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 xml:space="preserve"> </m:t>
        </m:r>
        <m:f>
          <m:fPr>
            <m:ctrlPr>
              <w:rPr>
                <w:rFonts w:ascii="Cambria Math" w:hAnsi="Cambria Math"/>
                <w:i/>
              </w:rPr>
            </m:ctrlPr>
          </m:fPr>
          <m:num>
            <m:r>
              <w:rPr>
                <w:rFonts w:ascii="Cambria Math" w:hAnsi="Cambria Math"/>
              </w:rPr>
              <m:t>dΦ</m:t>
            </m:r>
            <m:d>
              <m:dPr>
                <m:ctrlPr>
                  <w:rPr>
                    <w:rFonts w:ascii="Cambria Math" w:hAnsi="Cambria Math"/>
                    <w:i/>
                  </w:rPr>
                </m:ctrlPr>
              </m:dPr>
              <m:e>
                <m:r>
                  <w:rPr>
                    <w:rFonts w:ascii="Cambria Math" w:hAnsi="Cambria Math"/>
                  </w:rPr>
                  <m:t>x</m:t>
                </m:r>
              </m:e>
            </m:d>
          </m:num>
          <m:den>
            <m:r>
              <w:rPr>
                <w:rFonts w:ascii="Cambria Math" w:hAnsi="Cambria Math"/>
              </w:rPr>
              <m:t>dx</m:t>
            </m:r>
          </m:den>
        </m:f>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j</m:t>
            </m:r>
          </m:sub>
        </m:sSub>
        <m:sSub>
          <m:sSubPr>
            <m:ctrlPr>
              <w:rPr>
                <w:rFonts w:ascii="Cambria Math" w:hAnsi="Cambria Math"/>
                <w:i/>
              </w:rPr>
            </m:ctrlPr>
          </m:sSubPr>
          <m:e>
            <m:r>
              <w:rPr>
                <w:rFonts w:ascii="Cambria Math" w:hAnsi="Cambria Math"/>
              </w:rPr>
              <m:t>ν</m:t>
            </m:r>
          </m:e>
          <m:sub>
            <m:r>
              <w:rPr>
                <w:rFonts w:ascii="Cambria Math" w:hAnsi="Cambria Math"/>
              </w:rPr>
              <m:t>x</m:t>
            </m:r>
          </m:sub>
        </m:sSub>
      </m:oMath>
      <w:r w:rsidR="00217694">
        <w:t xml:space="preserve"> </w:t>
      </w:r>
      <w:r w:rsidR="007F4827">
        <w:t xml:space="preserve">                        </w:t>
      </w:r>
      <w:r w:rsidR="008F18C6">
        <w:t>(4</w:t>
      </w:r>
      <w:r w:rsidR="0084009F">
        <w:t>.1</w:t>
      </w:r>
      <w:r w:rsidR="00217694">
        <w:t>)</w:t>
      </w:r>
    </w:p>
    <w:p w14:paraId="617D10BF" w14:textId="77777777" w:rsidR="00217694" w:rsidRDefault="00217694" w:rsidP="006655F5">
      <w:pPr>
        <w:spacing w:line="240" w:lineRule="auto"/>
        <w:jc w:val="both"/>
      </w:pPr>
    </w:p>
    <w:p w14:paraId="15F8566A" w14:textId="1DCDAB54" w:rsidR="00217694" w:rsidRDefault="00677A44" w:rsidP="006655F5">
      <w:pPr>
        <w:spacing w:line="240" w:lineRule="auto"/>
        <w:jc w:val="both"/>
      </w:pPr>
      <w:r>
        <w:t xml:space="preserve">where </w:t>
      </w:r>
      <w:r w:rsidR="005A4349" w:rsidRPr="00546306">
        <w:rPr>
          <w:i/>
        </w:rPr>
        <w:t>D</w:t>
      </w:r>
      <w:r w:rsidR="005A4349" w:rsidRPr="00546306">
        <w:rPr>
          <w:i/>
          <w:vertAlign w:val="subscript"/>
        </w:rPr>
        <w:t>e,j</w:t>
      </w:r>
      <w:r w:rsidR="005A4349" w:rsidRPr="00747044">
        <w:rPr>
          <w:vertAlign w:val="subscript"/>
        </w:rPr>
        <w:t xml:space="preserve"> </w:t>
      </w:r>
      <w:r w:rsidR="005A4349">
        <w:t xml:space="preserve">is the effective diffusion coefficient of </w:t>
      </w:r>
      <w:r w:rsidR="005A4349" w:rsidRPr="00546306">
        <w:rPr>
          <w:i/>
        </w:rPr>
        <w:t>j</w:t>
      </w:r>
      <w:r w:rsidR="005A4349">
        <w:t xml:space="preserve">, </w:t>
      </w:r>
      <w:r w:rsidR="005A4349" w:rsidRPr="00546306">
        <w:rPr>
          <w:i/>
        </w:rPr>
        <w:t>C</w:t>
      </w:r>
      <w:r w:rsidR="005A4349" w:rsidRPr="00546306">
        <w:rPr>
          <w:i/>
          <w:vertAlign w:val="subscript"/>
        </w:rPr>
        <w:t>j</w:t>
      </w:r>
      <w:r w:rsidR="005A4349" w:rsidRPr="00546306">
        <w:rPr>
          <w:i/>
        </w:rPr>
        <w:t>(x)</w:t>
      </w:r>
      <w:r w:rsidR="005A4349">
        <w:t xml:space="preserve"> is the concentration of species </w:t>
      </w:r>
      <w:r w:rsidR="005A4349" w:rsidRPr="00747044">
        <w:rPr>
          <w:i/>
        </w:rPr>
        <w:t>j</w:t>
      </w:r>
      <w:r w:rsidR="005A4349">
        <w:t xml:space="preserve"> </w:t>
      </w:r>
      <w:r>
        <w:t>at location</w:t>
      </w:r>
      <w:r w:rsidR="005A4349">
        <w:t xml:space="preserve"> </w:t>
      </w:r>
      <w:r w:rsidR="005A4349" w:rsidRPr="00747044">
        <w:rPr>
          <w:i/>
        </w:rPr>
        <w:t>x</w:t>
      </w:r>
      <w:r w:rsidR="005A4349">
        <w:t xml:space="preserve"> , </w:t>
      </w:r>
      <w:r w:rsidR="005A4349" w:rsidRPr="00546306">
        <w:rPr>
          <w:i/>
        </w:rPr>
        <w:t>z</w:t>
      </w:r>
      <w:r w:rsidR="005A4349" w:rsidRPr="00546306">
        <w:rPr>
          <w:i/>
          <w:vertAlign w:val="subscript"/>
        </w:rPr>
        <w:t>j</w:t>
      </w:r>
      <w:r w:rsidR="005A4349">
        <w:t xml:space="preserve"> is the charge of species </w:t>
      </w:r>
      <w:r w:rsidR="005A4349" w:rsidRPr="00546306">
        <w:rPr>
          <w:i/>
        </w:rPr>
        <w:t>j</w:t>
      </w:r>
      <w:r w:rsidR="005A4349">
        <w:t xml:space="preserve">, </w:t>
      </w:r>
      <w:r w:rsidR="005A4349" w:rsidRPr="005D070E">
        <w:rPr>
          <w:i/>
          <w:iCs/>
        </w:rPr>
        <w:t>R</w:t>
      </w:r>
      <w:r w:rsidR="005A4349">
        <w:t xml:space="preserve"> is the ideal gas constant, </w:t>
      </w:r>
      <w:r w:rsidR="005A4349" w:rsidRPr="005D070E">
        <w:rPr>
          <w:i/>
          <w:iCs/>
        </w:rPr>
        <w:t>T</w:t>
      </w:r>
      <w:r w:rsidR="005A4349">
        <w:t xml:space="preserve"> is the temperature in K, </w:t>
      </w:r>
      <w:r w:rsidR="005A4349" w:rsidRPr="00546306">
        <w:rPr>
          <w:i/>
        </w:rPr>
        <w:t>Φ(</w:t>
      </w:r>
      <w:r w:rsidR="005A4349" w:rsidRPr="00546306">
        <w:rPr>
          <w:i/>
          <w:iCs/>
        </w:rPr>
        <w:t>x</w:t>
      </w:r>
      <w:r w:rsidR="005A4349" w:rsidRPr="00546306">
        <w:rPr>
          <w:i/>
        </w:rPr>
        <w:t>)</w:t>
      </w:r>
      <w:r w:rsidR="005A4349">
        <w:t xml:space="preserve"> is the </w:t>
      </w:r>
      <w:r w:rsidR="00EB2423">
        <w:t xml:space="preserve">electrostatic </w:t>
      </w:r>
      <w:r w:rsidR="005A4349">
        <w:t xml:space="preserve">potential </w:t>
      </w:r>
      <w:r>
        <w:t>at location</w:t>
      </w:r>
      <w:r w:rsidR="005A4349">
        <w:t xml:space="preserve"> </w:t>
      </w:r>
      <w:r w:rsidR="005A4349" w:rsidRPr="00747044">
        <w:rPr>
          <w:i/>
        </w:rPr>
        <w:t>x</w:t>
      </w:r>
      <w:r w:rsidR="005A4349">
        <w:t>,</w:t>
      </w:r>
      <w:r w:rsidR="00EF6193">
        <w:t xml:space="preserve"> and</w:t>
      </w:r>
      <w:r w:rsidR="005A4349">
        <w:t xml:space="preserve"> </w:t>
      </w:r>
      <w:r w:rsidR="005A4349" w:rsidRPr="00546306">
        <w:rPr>
          <w:i/>
        </w:rPr>
        <w:t>ν</w:t>
      </w:r>
      <w:r w:rsidR="005A4349" w:rsidRPr="00546306">
        <w:rPr>
          <w:i/>
          <w:vertAlign w:val="subscript"/>
        </w:rPr>
        <w:t>x</w:t>
      </w:r>
      <w:r w:rsidR="005A4349">
        <w:t xml:space="preserve"> is the </w:t>
      </w:r>
      <w:r>
        <w:t xml:space="preserve">fluid </w:t>
      </w:r>
      <w:r w:rsidR="005A4349">
        <w:t>velocity in</w:t>
      </w:r>
      <w:r>
        <w:t xml:space="preserve"> the</w:t>
      </w:r>
      <w:r w:rsidR="005A4349">
        <w:t xml:space="preserve"> </w:t>
      </w:r>
      <w:r w:rsidR="005A4349" w:rsidRPr="00747044">
        <w:rPr>
          <w:i/>
        </w:rPr>
        <w:t>x</w:t>
      </w:r>
      <w:r>
        <w:t xml:space="preserve"> direction</w:t>
      </w:r>
      <w:r w:rsidR="00EF6193">
        <w:t>.</w:t>
      </w:r>
      <w:r w:rsidR="005A4349">
        <w:t xml:space="preserve"> </w:t>
      </w:r>
      <w:r w:rsidR="00EF6193">
        <w:t>As depicted in Figure S10 below</w:t>
      </w:r>
      <w:r w:rsidR="007E7FCF">
        <w:t xml:space="preserve">, </w:t>
      </w:r>
      <w:r w:rsidR="00EF6193">
        <w:t xml:space="preserve">we have defined </w:t>
      </w:r>
      <w:r w:rsidR="007E7FCF" w:rsidRPr="00747044">
        <w:rPr>
          <w:i/>
        </w:rPr>
        <w:t>x</w:t>
      </w:r>
      <w:r w:rsidR="007E7FCF">
        <w:rPr>
          <w:i/>
        </w:rPr>
        <w:t xml:space="preserve"> </w:t>
      </w:r>
      <w:r w:rsidR="007E7FCF" w:rsidRPr="00747044">
        <w:rPr>
          <w:i/>
        </w:rPr>
        <w:t>= 0</w:t>
      </w:r>
      <w:r w:rsidR="00EF6193">
        <w:t xml:space="preserve"> to correspond to </w:t>
      </w:r>
      <w:r w:rsidR="005D070E">
        <w:t>the interface between the surface of the Pt catalyst and the bottom of the overlayer</w:t>
      </w:r>
      <w:r w:rsidR="00EF6193">
        <w:t>.</w:t>
      </w:r>
      <w:r w:rsidR="007E7FCF">
        <w:t xml:space="preserve"> </w:t>
      </w:r>
      <w:r w:rsidR="00217694">
        <w:t xml:space="preserve">When the current density is limited by mass transport across the diffusion boundary layer and there is excess supporting electrolyte, the migration and convection terms in Equation </w:t>
      </w:r>
      <w:r w:rsidR="003164CC">
        <w:t>4.1</w:t>
      </w:r>
      <w:r w:rsidR="00217694">
        <w:t xml:space="preserve"> are considered nonexistent or negligible, and Equation </w:t>
      </w:r>
      <w:r w:rsidR="003164CC">
        <w:t>4</w:t>
      </w:r>
      <w:r w:rsidR="00217694">
        <w:t xml:space="preserve">.2 </w:t>
      </w:r>
      <w:r w:rsidR="00777413">
        <w:t xml:space="preserve">can </w:t>
      </w:r>
      <w:r w:rsidR="00217694">
        <w:t xml:space="preserve">be simplified to </w:t>
      </w:r>
      <w:r w:rsidR="00777413">
        <w:t>give Fick’s law</w:t>
      </w:r>
      <w:r w:rsidR="00217694">
        <w:t>:</w:t>
      </w:r>
    </w:p>
    <w:p w14:paraId="5C68821E" w14:textId="77777777" w:rsidR="008E6B7D" w:rsidRDefault="008E6B7D" w:rsidP="006655F5">
      <w:pPr>
        <w:spacing w:line="240" w:lineRule="auto"/>
        <w:jc w:val="both"/>
      </w:pPr>
    </w:p>
    <w:p w14:paraId="7317F0FA" w14:textId="7ECF42A8" w:rsidR="00217694" w:rsidRPr="007450EF" w:rsidRDefault="00E87563" w:rsidP="006655F5">
      <w:pPr>
        <w:spacing w:line="240" w:lineRule="auto"/>
        <w:jc w:val="right"/>
      </w:pPr>
      <m:oMath>
        <m:sSub>
          <m:sSubPr>
            <m:ctrlPr>
              <w:rPr>
                <w:rFonts w:ascii="Cambria Math" w:hAnsi="Cambria Math"/>
                <w:i/>
              </w:rPr>
            </m:ctrlPr>
          </m:sSubPr>
          <m:e>
            <m:r>
              <w:rPr>
                <w:rFonts w:ascii="Cambria Math" w:hAnsi="Cambria Math"/>
              </w:rPr>
              <m:t>N</m:t>
            </m:r>
          </m:e>
          <m:sub>
            <m:r>
              <w:rPr>
                <w:rFonts w:ascii="Cambria Math" w:hAnsi="Cambria Math"/>
              </w:rPr>
              <m:t>j</m:t>
            </m:r>
          </m:sub>
        </m:sSub>
        <m:r>
          <w:rPr>
            <w:rFonts w:ascii="Cambria Math" w:hAnsi="Cambria Math"/>
          </w:rPr>
          <m:t>= -</m:t>
        </m:r>
        <m:sSub>
          <m:sSubPr>
            <m:ctrlPr>
              <w:rPr>
                <w:rFonts w:ascii="Cambria Math" w:hAnsi="Cambria Math"/>
                <w:i/>
              </w:rPr>
            </m:ctrlPr>
          </m:sSubPr>
          <m:e>
            <m:r>
              <w:rPr>
                <w:rFonts w:ascii="Cambria Math" w:hAnsi="Cambria Math"/>
              </w:rPr>
              <m:t>D</m:t>
            </m:r>
          </m:e>
          <m:sub>
            <m:r>
              <w:rPr>
                <w:rFonts w:ascii="Cambria Math" w:hAnsi="Cambria Math"/>
              </w:rPr>
              <m:t xml:space="preserve">e,j </m:t>
            </m:r>
          </m:sub>
        </m:sSub>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C</m:t>
                </m:r>
              </m:e>
              <m:sub>
                <m:r>
                  <w:rPr>
                    <w:rFonts w:ascii="Cambria Math" w:hAnsi="Cambria Math"/>
                  </w:rPr>
                  <m:t>j</m:t>
                </m:r>
              </m:sub>
            </m:sSub>
          </m:num>
          <m:den>
            <m:r>
              <w:rPr>
                <w:rFonts w:ascii="Cambria Math" w:hAnsi="Cambria Math"/>
              </w:rPr>
              <m:t>dx</m:t>
            </m:r>
          </m:den>
        </m:f>
      </m:oMath>
      <w:r w:rsidR="00217694">
        <w:t xml:space="preserve"> </w:t>
      </w:r>
      <w:r w:rsidR="007F4827">
        <w:t xml:space="preserve">                            </w:t>
      </w:r>
      <w:r w:rsidR="007E7FCF">
        <w:t xml:space="preserve">  </w:t>
      </w:r>
      <w:r w:rsidR="00217EC4">
        <w:t xml:space="preserve">   </w:t>
      </w:r>
      <w:r w:rsidR="007E7FCF">
        <w:t xml:space="preserve">        </w:t>
      </w:r>
      <w:r w:rsidR="007F4827">
        <w:t xml:space="preserve">           </w:t>
      </w:r>
      <w:r w:rsidR="008F18C6">
        <w:t>(4</w:t>
      </w:r>
      <w:r w:rsidR="0084009F">
        <w:t>.2</w:t>
      </w:r>
      <w:r w:rsidR="00217694">
        <w:t>)</w:t>
      </w:r>
    </w:p>
    <w:p w14:paraId="7884AA2B" w14:textId="77777777" w:rsidR="00217694" w:rsidRPr="00E75764" w:rsidRDefault="00217694" w:rsidP="006655F5">
      <w:pPr>
        <w:spacing w:line="240" w:lineRule="auto"/>
        <w:jc w:val="both"/>
      </w:pPr>
    </w:p>
    <w:p w14:paraId="61345978" w14:textId="335AC1AD" w:rsidR="007E7FCF" w:rsidRDefault="00777413" w:rsidP="006655F5">
      <w:pPr>
        <w:spacing w:line="240" w:lineRule="auto"/>
        <w:jc w:val="both"/>
      </w:pPr>
      <w:r>
        <w:lastRenderedPageBreak/>
        <w:t xml:space="preserve">For steady state operation of the planar electrode, the differential continuity equation simplifies to give a linear concentration profile across the diffusion boundary layer such that the concentration gradient is a constant as shown in Figure S10. </w:t>
      </w:r>
      <w:r w:rsidR="00CC42DC" w:rsidRPr="00CC42DC">
        <w:rPr>
          <w:i/>
          <w:iCs/>
        </w:rPr>
        <w:t>N</w:t>
      </w:r>
      <w:r w:rsidR="00CC42DC" w:rsidRPr="00CC42DC">
        <w:rPr>
          <w:i/>
          <w:iCs/>
          <w:vertAlign w:val="subscript"/>
        </w:rPr>
        <w:t>j</w:t>
      </w:r>
      <w:r w:rsidR="00CC42DC">
        <w:t xml:space="preserve"> </w:t>
      </w:r>
      <w:r w:rsidR="00C66C76">
        <w:t xml:space="preserve">can then be converted to current density </w:t>
      </w:r>
      <w:r w:rsidR="00CC42DC">
        <w:t>using Farad</w:t>
      </w:r>
      <w:r w:rsidR="0084009F">
        <w:t>ay’s first law of electrolysis</w:t>
      </w:r>
      <w:r w:rsidR="00C66C76">
        <w:t>, as shown in Equation (</w:t>
      </w:r>
      <w:r w:rsidR="003164CC">
        <w:t>4</w:t>
      </w:r>
      <w:r w:rsidR="00C66C76">
        <w:t>.3)</w:t>
      </w:r>
      <w:r w:rsidR="0084009F">
        <w:t>.</w:t>
      </w:r>
      <w:r w:rsidR="006B3FCA" w:rsidRPr="006B3FCA">
        <w:rPr>
          <w:noProof/>
          <w:vertAlign w:val="superscript"/>
        </w:rPr>
        <w:t>[8]</w:t>
      </w:r>
      <w:r w:rsidR="0084009F">
        <w:t xml:space="preserve"> </w:t>
      </w:r>
      <w:r w:rsidR="00C66C76">
        <w:t>When the current density is limited entirely by mass transfer, it is referred to as the limiting current (</w:t>
      </w:r>
      <w:r w:rsidR="00C66C76" w:rsidRPr="00CC42DC">
        <w:rPr>
          <w:i/>
          <w:iCs/>
        </w:rPr>
        <w:t>i</w:t>
      </w:r>
      <w:r w:rsidR="00C66C76" w:rsidRPr="00CC42DC">
        <w:rPr>
          <w:i/>
          <w:iCs/>
          <w:vertAlign w:val="subscript"/>
        </w:rPr>
        <w:t>lim</w:t>
      </w:r>
      <w:r w:rsidR="00C66C76">
        <w:t>).</w:t>
      </w:r>
    </w:p>
    <w:p w14:paraId="468FBC2B" w14:textId="57FA1326" w:rsidR="007E7FCF" w:rsidRDefault="007E7FCF" w:rsidP="006655F5">
      <w:pPr>
        <w:spacing w:line="240" w:lineRule="auto"/>
        <w:jc w:val="both"/>
      </w:pPr>
    </w:p>
    <w:p w14:paraId="2FBD6B4D" w14:textId="7AEC5365" w:rsidR="00217EC4" w:rsidRDefault="00217EC4" w:rsidP="00217EC4">
      <w:pPr>
        <w:spacing w:line="240" w:lineRule="auto"/>
        <w:jc w:val="center"/>
      </w:pPr>
      <w:r>
        <w:rPr>
          <w:noProof/>
        </w:rPr>
        <w:drawing>
          <wp:inline distT="0" distB="0" distL="0" distR="0" wp14:anchorId="5748562E" wp14:editId="0D1F12BB">
            <wp:extent cx="5676900" cy="26765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76900" cy="2676525"/>
                    </a:xfrm>
                    <a:prstGeom prst="rect">
                      <a:avLst/>
                    </a:prstGeom>
                  </pic:spPr>
                </pic:pic>
              </a:graphicData>
            </a:graphic>
          </wp:inline>
        </w:drawing>
      </w:r>
    </w:p>
    <w:p w14:paraId="4F8243F7" w14:textId="43F009FC" w:rsidR="00495E1D" w:rsidRDefault="00495E1D" w:rsidP="006655F5">
      <w:pPr>
        <w:spacing w:line="240" w:lineRule="auto"/>
        <w:ind w:firstLine="720"/>
        <w:jc w:val="center"/>
      </w:pPr>
    </w:p>
    <w:p w14:paraId="1AEB9992" w14:textId="69810244" w:rsidR="007E7FCF" w:rsidRDefault="007E7FCF" w:rsidP="006655F5">
      <w:pPr>
        <w:spacing w:line="240" w:lineRule="auto"/>
        <w:jc w:val="both"/>
      </w:pPr>
      <w:r w:rsidRPr="005A360A">
        <w:rPr>
          <w:b/>
          <w:bCs/>
        </w:rPr>
        <w:t>Figure S10</w:t>
      </w:r>
      <w:r>
        <w:t xml:space="preserve">. </w:t>
      </w:r>
      <w:r w:rsidR="006655F5">
        <w:t>S</w:t>
      </w:r>
      <w:r>
        <w:t xml:space="preserve">chematic </w:t>
      </w:r>
      <w:r w:rsidR="006655F5">
        <w:t xml:space="preserve">side-views </w:t>
      </w:r>
      <w:r>
        <w:t xml:space="preserve">of the </w:t>
      </w:r>
      <w:r w:rsidR="006655F5">
        <w:t xml:space="preserve">steady-state </w:t>
      </w:r>
      <w:r>
        <w:t>concentration profiles for mass transport limiting conditions across an a.) unencapsulated, bare Pt electrode and b.) a Pt electrode encapsulated in an SiO</w:t>
      </w:r>
      <w:r w:rsidRPr="005A360A">
        <w:rPr>
          <w:vertAlign w:val="subscript"/>
        </w:rPr>
        <w:t>x</w:t>
      </w:r>
      <w:r>
        <w:t>C</w:t>
      </w:r>
      <w:r w:rsidRPr="005A360A">
        <w:rPr>
          <w:vertAlign w:val="subscript"/>
        </w:rPr>
        <w:t>y</w:t>
      </w:r>
      <w:r>
        <w:t xml:space="preserve"> overlayer of thickness t</w:t>
      </w:r>
      <w:r w:rsidRPr="005A360A">
        <w:rPr>
          <w:vertAlign w:val="subscript"/>
        </w:rPr>
        <w:t>o</w:t>
      </w:r>
      <w:r>
        <w:t>.</w:t>
      </w:r>
      <w:r w:rsidR="00A40C9A">
        <w:t xml:space="preserve"> </w:t>
      </w:r>
      <w:r w:rsidR="00766B17">
        <w:t xml:space="preserve">The electrodes are assumed to be planar and operated at steady state. </w:t>
      </w:r>
      <w:r w:rsidR="00A40C9A">
        <w:t>In both schematics,</w:t>
      </w:r>
      <w:r w:rsidR="00766B17">
        <w:t xml:space="preserve"> </w:t>
      </w:r>
      <w:r w:rsidR="00A40C9A">
        <w:t>δ is the thickness of the diffusion boundary layer in the bulk electrolyte.</w:t>
      </w:r>
    </w:p>
    <w:p w14:paraId="14BBB4A2" w14:textId="77777777" w:rsidR="007E7FCF" w:rsidRDefault="007E7FCF" w:rsidP="006655F5">
      <w:pPr>
        <w:spacing w:line="240" w:lineRule="auto"/>
        <w:jc w:val="both"/>
      </w:pPr>
    </w:p>
    <w:p w14:paraId="38555DF0" w14:textId="5A4EB9B1" w:rsidR="00217694" w:rsidRDefault="00C66C76" w:rsidP="006655F5">
      <w:pPr>
        <w:spacing w:line="240" w:lineRule="auto"/>
        <w:jc w:val="both"/>
      </w:pPr>
      <w:r>
        <w:t xml:space="preserve">For limiting current operation of a bare electrode, all of the concentration drop occurs across the diffusion boundary layer (DBL), and the concentration gradient term can be approximated as a finite difference that can be written in terms of the bulk concentration of species </w:t>
      </w:r>
      <w:r>
        <w:rPr>
          <w:i/>
          <w:iCs/>
        </w:rPr>
        <w:t>j</w:t>
      </w:r>
      <w:r>
        <w:t xml:space="preserve">, </w:t>
      </w:r>
      <w:r>
        <w:rPr>
          <w:i/>
          <w:iCs/>
        </w:rPr>
        <w:t>C</w:t>
      </w:r>
      <w:r>
        <w:rPr>
          <w:i/>
          <w:iCs/>
          <w:vertAlign w:val="subscript"/>
        </w:rPr>
        <w:t>j,b</w:t>
      </w:r>
      <w:r>
        <w:rPr>
          <w:vertAlign w:val="subscript"/>
        </w:rPr>
        <w:t xml:space="preserve">, </w:t>
      </w:r>
      <w:r>
        <w:t xml:space="preserve">and the thickness of the DBL, δ:  </w:t>
      </w:r>
    </w:p>
    <w:p w14:paraId="19369794" w14:textId="77777777" w:rsidR="006B3FCA" w:rsidRDefault="006B3FCA" w:rsidP="006655F5">
      <w:pPr>
        <w:spacing w:line="240" w:lineRule="auto"/>
        <w:jc w:val="both"/>
      </w:pPr>
    </w:p>
    <w:p w14:paraId="3E01A0FF" w14:textId="5E449B64" w:rsidR="00217694" w:rsidRDefault="00E87563" w:rsidP="006655F5">
      <w:pPr>
        <w:spacing w:line="240" w:lineRule="auto"/>
        <w:jc w:val="right"/>
      </w:pPr>
      <m:oMath>
        <m:sSub>
          <m:sSubPr>
            <m:ctrlPr>
              <w:rPr>
                <w:rFonts w:ascii="Cambria Math" w:hAnsi="Cambria Math"/>
                <w:i/>
                <w:szCs w:val="24"/>
              </w:rPr>
            </m:ctrlPr>
          </m:sSubPr>
          <m:e>
            <m:r>
              <w:rPr>
                <w:rFonts w:ascii="Cambria Math" w:hAnsi="Cambria Math"/>
                <w:szCs w:val="24"/>
              </w:rPr>
              <m:t>i</m:t>
            </m:r>
          </m:e>
          <m:sub>
            <m:r>
              <w:rPr>
                <w:rFonts w:ascii="Cambria Math" w:hAnsi="Cambria Math"/>
                <w:szCs w:val="24"/>
              </w:rPr>
              <m:t>lim</m:t>
            </m:r>
          </m:sub>
        </m:sSub>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nFD</m:t>
                </m:r>
              </m:e>
              <m:sub>
                <m:r>
                  <w:rPr>
                    <w:rFonts w:ascii="Cambria Math" w:hAnsi="Cambria Math"/>
                    <w:szCs w:val="24"/>
                  </w:rPr>
                  <m:t>e,j</m:t>
                </m:r>
              </m:sub>
            </m:sSub>
          </m:num>
          <m:den>
            <m:sSub>
              <m:sSubPr>
                <m:ctrlPr>
                  <w:rPr>
                    <w:rFonts w:ascii="Cambria Math" w:hAnsi="Cambria Math"/>
                    <w:i/>
                    <w:szCs w:val="24"/>
                  </w:rPr>
                </m:ctrlPr>
              </m:sSubPr>
              <m:e>
                <m:r>
                  <w:rPr>
                    <w:rFonts w:ascii="Cambria Math" w:hAnsi="Cambria Math"/>
                    <w:szCs w:val="24"/>
                  </w:rPr>
                  <m:t>s</m:t>
                </m:r>
              </m:e>
              <m:sub>
                <m:r>
                  <w:rPr>
                    <w:rFonts w:ascii="Cambria Math" w:hAnsi="Cambria Math"/>
                    <w:szCs w:val="24"/>
                  </w:rPr>
                  <m:t>j</m:t>
                </m:r>
              </m:sub>
            </m:sSub>
          </m:den>
        </m:f>
        <m:f>
          <m:fPr>
            <m:ctrlPr>
              <w:rPr>
                <w:rFonts w:ascii="Cambria Math" w:hAnsi="Cambria Math"/>
                <w:i/>
                <w:szCs w:val="24"/>
              </w:rPr>
            </m:ctrlPr>
          </m:fPr>
          <m:num>
            <m:r>
              <w:rPr>
                <w:rFonts w:ascii="Cambria Math" w:hAnsi="Cambria Math"/>
                <w:szCs w:val="24"/>
              </w:rPr>
              <m:t>d</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j</m:t>
                </m:r>
              </m:sub>
            </m:sSub>
          </m:num>
          <m:den>
            <m:r>
              <w:rPr>
                <w:rFonts w:ascii="Cambria Math" w:hAnsi="Cambria Math"/>
                <w:szCs w:val="24"/>
              </w:rPr>
              <m:t>dx</m:t>
            </m:r>
          </m:den>
        </m:f>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nFD</m:t>
                </m:r>
              </m:e>
              <m:sub>
                <m:r>
                  <w:rPr>
                    <w:rFonts w:ascii="Cambria Math" w:hAnsi="Cambria Math"/>
                    <w:szCs w:val="24"/>
                  </w:rPr>
                  <m:t>e,j</m:t>
                </m:r>
              </m:sub>
            </m:sSub>
          </m:num>
          <m:den>
            <m:sSub>
              <m:sSubPr>
                <m:ctrlPr>
                  <w:rPr>
                    <w:rFonts w:ascii="Cambria Math" w:hAnsi="Cambria Math"/>
                    <w:i/>
                    <w:szCs w:val="24"/>
                  </w:rPr>
                </m:ctrlPr>
              </m:sSubPr>
              <m:e>
                <m:r>
                  <w:rPr>
                    <w:rFonts w:ascii="Cambria Math" w:hAnsi="Cambria Math"/>
                    <w:szCs w:val="24"/>
                  </w:rPr>
                  <m:t>s</m:t>
                </m:r>
              </m:e>
              <m:sub>
                <m:r>
                  <w:rPr>
                    <w:rFonts w:ascii="Cambria Math" w:hAnsi="Cambria Math"/>
                    <w:szCs w:val="24"/>
                  </w:rPr>
                  <m:t>j</m:t>
                </m:r>
              </m:sub>
            </m:sSub>
          </m:den>
        </m:f>
        <m:f>
          <m:fPr>
            <m:ctrlPr>
              <w:rPr>
                <w:rFonts w:ascii="Cambria Math" w:hAnsi="Cambria Math"/>
                <w:i/>
                <w:szCs w:val="24"/>
              </w:rPr>
            </m:ctrlPr>
          </m:fPr>
          <m:num>
            <m:r>
              <w:rPr>
                <w:rFonts w:ascii="Cambria Math" w:hAnsi="Cambria Math"/>
                <w:szCs w:val="24"/>
              </w:rPr>
              <m:t>Δ</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j</m:t>
                </m:r>
              </m:sub>
            </m:sSub>
          </m:num>
          <m:den>
            <m:r>
              <w:rPr>
                <w:rFonts w:ascii="Cambria Math" w:hAnsi="Cambria Math"/>
                <w:szCs w:val="24"/>
              </w:rPr>
              <m:t>∆x</m:t>
            </m:r>
          </m:den>
        </m:f>
        <m:r>
          <w:rPr>
            <w:rFonts w:ascii="Cambria Math" w:hAnsi="Cambria Math"/>
            <w:szCs w:val="24"/>
          </w:rPr>
          <m:t>=</m:t>
        </m:r>
        <m:f>
          <m:fPr>
            <m:ctrlPr>
              <w:rPr>
                <w:rFonts w:ascii="Cambria Math" w:hAnsi="Cambria Math"/>
                <w:i/>
                <w:szCs w:val="24"/>
              </w:rPr>
            </m:ctrlPr>
          </m:fPr>
          <m:num>
            <m:r>
              <w:rPr>
                <w:rFonts w:ascii="Cambria Math" w:hAnsi="Cambria Math"/>
                <w:szCs w:val="24"/>
              </w:rPr>
              <m:t>nF</m:t>
            </m:r>
            <m:sSub>
              <m:sSubPr>
                <m:ctrlPr>
                  <w:rPr>
                    <w:rFonts w:ascii="Cambria Math" w:hAnsi="Cambria Math"/>
                    <w:i/>
                    <w:szCs w:val="24"/>
                  </w:rPr>
                </m:ctrlPr>
              </m:sSubPr>
              <m:e>
                <m:r>
                  <w:rPr>
                    <w:rFonts w:ascii="Cambria Math" w:hAnsi="Cambria Math"/>
                    <w:szCs w:val="24"/>
                  </w:rPr>
                  <m:t>D</m:t>
                </m:r>
              </m:e>
              <m:sub>
                <m:r>
                  <w:rPr>
                    <w:rFonts w:ascii="Cambria Math" w:hAnsi="Cambria Math"/>
                    <w:szCs w:val="24"/>
                  </w:rPr>
                  <m:t>e,j</m:t>
                </m:r>
              </m:sub>
            </m:sSub>
          </m:num>
          <m:den>
            <m:sSub>
              <m:sSubPr>
                <m:ctrlPr>
                  <w:rPr>
                    <w:rFonts w:ascii="Cambria Math" w:hAnsi="Cambria Math"/>
                    <w:i/>
                    <w:szCs w:val="24"/>
                  </w:rPr>
                </m:ctrlPr>
              </m:sSubPr>
              <m:e>
                <m:r>
                  <w:rPr>
                    <w:rFonts w:ascii="Cambria Math" w:hAnsi="Cambria Math"/>
                    <w:szCs w:val="24"/>
                  </w:rPr>
                  <m:t>s</m:t>
                </m:r>
              </m:e>
              <m:sub>
                <m:r>
                  <w:rPr>
                    <w:rFonts w:ascii="Cambria Math" w:hAnsi="Cambria Math"/>
                    <w:szCs w:val="24"/>
                  </w:rPr>
                  <m:t>j</m:t>
                </m:r>
              </m:sub>
            </m:sSub>
          </m:den>
        </m:f>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C</m:t>
                    </m:r>
                  </m:e>
                  <m:sub>
                    <m:r>
                      <w:rPr>
                        <w:rFonts w:ascii="Cambria Math" w:hAnsi="Cambria Math"/>
                        <w:szCs w:val="24"/>
                      </w:rPr>
                      <m:t>j</m:t>
                    </m:r>
                  </m:sub>
                </m:sSub>
              </m:num>
              <m:den>
                <m:r>
                  <w:rPr>
                    <w:rFonts w:ascii="Cambria Math" w:hAnsi="Cambria Math"/>
                    <w:szCs w:val="24"/>
                  </w:rPr>
                  <m:t>δ</m:t>
                </m:r>
              </m:den>
            </m:f>
            <m:r>
              <w:rPr>
                <w:rFonts w:ascii="Cambria Math" w:hAnsi="Cambria Math"/>
                <w:szCs w:val="24"/>
              </w:rPr>
              <m:t xml:space="preserve"> </m:t>
            </m:r>
          </m:e>
        </m:d>
        <m:r>
          <w:rPr>
            <w:rFonts w:ascii="Cambria Math" w:hAnsi="Cambria Math"/>
          </w:rPr>
          <m:t xml:space="preserve">   </m:t>
        </m:r>
      </m:oMath>
      <w:r w:rsidR="007F4827">
        <w:t xml:space="preserve">                </w:t>
      </w:r>
      <w:r w:rsidR="00217EC4">
        <w:t xml:space="preserve">         </w:t>
      </w:r>
      <w:r w:rsidR="007F4827">
        <w:t xml:space="preserve">       </w:t>
      </w:r>
      <w:r w:rsidR="008F18C6">
        <w:t>(4</w:t>
      </w:r>
      <w:r w:rsidR="0084009F">
        <w:t>.3</w:t>
      </w:r>
      <w:r w:rsidR="00217694">
        <w:t>)</w:t>
      </w:r>
    </w:p>
    <w:p w14:paraId="5F8A2430" w14:textId="77777777" w:rsidR="00217694" w:rsidRDefault="00217694" w:rsidP="006655F5">
      <w:pPr>
        <w:spacing w:line="240" w:lineRule="auto"/>
        <w:jc w:val="both"/>
      </w:pPr>
    </w:p>
    <w:p w14:paraId="6308CF0A" w14:textId="0726679F" w:rsidR="001233F8" w:rsidRDefault="00C66C76" w:rsidP="006655F5">
      <w:pPr>
        <w:spacing w:line="240" w:lineRule="auto"/>
        <w:jc w:val="both"/>
      </w:pPr>
      <w:r>
        <w:t>where</w:t>
      </w:r>
      <w:r w:rsidR="00CC42DC">
        <w:t xml:space="preserve"> </w:t>
      </w:r>
      <w:r w:rsidR="00CC42DC" w:rsidRPr="006B3FCA">
        <w:rPr>
          <w:i/>
          <w:iCs/>
        </w:rPr>
        <w:t>s</w:t>
      </w:r>
      <w:r w:rsidR="00CC42DC" w:rsidRPr="006B3FCA">
        <w:rPr>
          <w:i/>
          <w:iCs/>
          <w:vertAlign w:val="subscript"/>
        </w:rPr>
        <w:t>j</w:t>
      </w:r>
      <w:r w:rsidR="00CC42DC" w:rsidRPr="00D32AEC">
        <w:rPr>
          <w:iCs/>
        </w:rPr>
        <w:t xml:space="preserve"> </w:t>
      </w:r>
      <w:r w:rsidR="001233F8">
        <w:t xml:space="preserve">is </w:t>
      </w:r>
      <w:r w:rsidR="00CC42DC">
        <w:t xml:space="preserve">the stoichiometric coefficient of species </w:t>
      </w:r>
      <w:r w:rsidR="00CC42DC" w:rsidRPr="00546306">
        <w:rPr>
          <w:i/>
        </w:rPr>
        <w:t>j</w:t>
      </w:r>
      <w:r w:rsidR="00CC42DC">
        <w:t xml:space="preserve">, </w:t>
      </w:r>
      <w:r w:rsidR="00CC42DC" w:rsidRPr="00546306">
        <w:rPr>
          <w:i/>
          <w:iCs/>
        </w:rPr>
        <w:t>n</w:t>
      </w:r>
      <w:r w:rsidR="00CC42DC" w:rsidRPr="00D32AEC">
        <w:rPr>
          <w:iCs/>
        </w:rPr>
        <w:t xml:space="preserve"> </w:t>
      </w:r>
      <w:r w:rsidR="001233F8">
        <w:t xml:space="preserve">is </w:t>
      </w:r>
      <w:r w:rsidR="00CC42DC">
        <w:t xml:space="preserve">the </w:t>
      </w:r>
      <w:r w:rsidR="001233F8">
        <w:t xml:space="preserve">stoichiometric </w:t>
      </w:r>
      <w:r w:rsidR="00CC42DC">
        <w:t xml:space="preserve">number of electrons </w:t>
      </w:r>
      <w:r w:rsidR="001233F8">
        <w:t xml:space="preserve">involved in the electrochemical </w:t>
      </w:r>
      <w:r w:rsidR="00CC42DC">
        <w:t>reaction,</w:t>
      </w:r>
      <w:r w:rsidR="00CC42DC" w:rsidRPr="00D32AEC">
        <w:rPr>
          <w:iCs/>
        </w:rPr>
        <w:t xml:space="preserve"> </w:t>
      </w:r>
      <w:r w:rsidR="00CC42DC">
        <w:rPr>
          <w:iCs/>
        </w:rPr>
        <w:t xml:space="preserve">and </w:t>
      </w:r>
      <w:r w:rsidR="00CC42DC" w:rsidRPr="00D32AEC">
        <w:rPr>
          <w:iCs/>
        </w:rPr>
        <w:t>F</w:t>
      </w:r>
      <w:r w:rsidR="00CC42DC">
        <w:t xml:space="preserve"> </w:t>
      </w:r>
      <w:r w:rsidR="001233F8">
        <w:t xml:space="preserve">is </w:t>
      </w:r>
      <w:r w:rsidR="00CC42DC">
        <w:t>Faraday’s constant (96485 Coulombs mol</w:t>
      </w:r>
      <w:r w:rsidR="00CC42DC" w:rsidRPr="005D7970">
        <w:rPr>
          <w:vertAlign w:val="superscript"/>
        </w:rPr>
        <w:t>-1</w:t>
      </w:r>
      <w:r w:rsidR="00CC42DC">
        <w:t>).</w:t>
      </w:r>
      <w:r w:rsidR="00217694">
        <w:t xml:space="preserve"> </w:t>
      </w:r>
      <w:r w:rsidR="00A240C6" w:rsidRPr="0018307F">
        <w:t xml:space="preserve">In acidic conditions, the value for </w:t>
      </w:r>
      <w:r w:rsidR="00A240C6" w:rsidRPr="0018307F">
        <w:rPr>
          <w:i/>
        </w:rPr>
        <w:t>n</w:t>
      </w:r>
      <w:r w:rsidR="00A240C6" w:rsidRPr="0018307F">
        <w:t xml:space="preserve"> is </w:t>
      </w:r>
      <w:r w:rsidR="00ED21AA" w:rsidRPr="0018307F">
        <w:t>designated as</w:t>
      </w:r>
      <w:r w:rsidR="00A240C6" w:rsidRPr="0018307F">
        <w:t xml:space="preserve"> 2 for hydrogen evolution, and 4 for oxygen reduction, assuming </w:t>
      </w:r>
      <w:r w:rsidR="00ED21AA" w:rsidRPr="0018307F">
        <w:t xml:space="preserve">the </w:t>
      </w:r>
      <w:r w:rsidR="00A240C6" w:rsidRPr="0018307F">
        <w:t>complete reduction of oxygen to water</w:t>
      </w:r>
      <w:r w:rsidR="00ED21AA" w:rsidRPr="0018307F">
        <w:t>,</w:t>
      </w:r>
      <w:r w:rsidR="00A240C6" w:rsidRPr="0018307F">
        <w:t xml:space="preserve"> with little to current being directed towards the formation of peroxide byproducts, as is typically seen for polycrystalline Pt in acidic conditions.</w:t>
      </w:r>
      <w:r w:rsidR="00931CDA" w:rsidRPr="0018307F">
        <w:fldChar w:fldCharType="begin" w:fldLock="1"/>
      </w:r>
      <w:r w:rsidR="008B109F" w:rsidRPr="0018307F">
        <w:instrText>ADDIN CSL_CITATION {"citationItems":[{"id":"ITEM-1","itemData":{"DOI":"10.1021/acscatal.8b01291","ISSN":"21555435","abstract":"The oxygen reduction reaction (ORR) on platinum in perchloric acid is studied under transient conditions at stationary and nonstationary electrodes. Only under these conditions, the presence of a fast initial chemical step in the mechanism, giving rise to a soluble, short-lived intermediate proposed to be the HO2</w:instrText>
      </w:r>
      <w:r w:rsidR="008B109F" w:rsidRPr="0018307F">
        <w:rPr>
          <w:rFonts w:ascii="Cambria Math" w:hAnsi="Cambria Math" w:cs="Cambria Math"/>
        </w:rPr>
        <w:instrText>∗</w:instrText>
      </w:r>
      <w:r w:rsidR="008B109F" w:rsidRPr="0018307F">
        <w:instrText xml:space="preserve"> radical, is revealed by comparing experimental and calculated curves by numerical simulations of simple reaction schemes. The formation of this species and the existence of a zero-current cycle involving it would be the main reasons for the lack of reduction currents at potentials higher than the ORR reaction onset. Additionally, regardless of the exact subsequent steps after the initial chemical reaction, if HO2</w:instrText>
      </w:r>
      <w:r w:rsidR="008B109F" w:rsidRPr="0018307F">
        <w:rPr>
          <w:rFonts w:ascii="Cambria Math" w:hAnsi="Cambria Math" w:cs="Cambria Math"/>
        </w:rPr>
        <w:instrText>∗</w:instrText>
      </w:r>
      <w:r w:rsidR="008B109F" w:rsidRPr="0018307F">
        <w:instrText xml:space="preserve"> is generated it would disproportionate to hydrogen peroxide, which implies that both species would be always produced during the ORR on Pt. The presence of HO2</w:instrText>
      </w:r>
      <w:r w:rsidR="008B109F" w:rsidRPr="0018307F">
        <w:rPr>
          <w:rFonts w:ascii="Cambria Math" w:hAnsi="Cambria Math" w:cs="Cambria Math"/>
        </w:rPr>
        <w:instrText>∗</w:instrText>
      </w:r>
      <w:r w:rsidR="008B109F" w:rsidRPr="0018307F">
        <w:instrText xml:space="preserve"> and H2O2 would profoundly affect the durability of Pt-based catalysts and should be taken into account in the design of materials for fuel cell cathodes.","author":[{"dropping-particle":"","family":"Gómez-Marín","given":"Ana","non-dropping-particle":"","parse-names":false,"suffix":""},{"dropping-particle":"","family":"Feliu","given":"Juan","non-dropping-particle":"","parse-names":false,"suffix":""},{"dropping-particle":"","family":"Edson","given":"Ticianelli","non-dropping-particle":"","parse-names":false,"suffix":""}],"container-title":"ACS Catalysis","id":"ITEM-1","issue":"9","issued":{"date-parts":[["2018"]]},"page":"7931-7943","title":"Reaction Mechanism for Oxygen Reduction on Platinum: Existence of a Fast Initial Chemical Step and a Soluble Species Different from H2O2","type":"article-journal","volume":"8"},"uris":["http://www.mendeley.com/documents/?uuid=5a714d53-df55-4fe0-b8d1-e337d8e34c79"]}],"mendeley":{"formattedCitation":"&lt;sup&gt;[9]&lt;/sup&gt;","plainTextFormattedCitation":"[9]","previouslyFormattedCitation":"&lt;sup&gt;[9]&lt;/sup&gt;"},"properties":{"noteIndex":0},"schema":"https://github.com/citation-style-language/schema/raw/master/csl-citation.json"}</w:instrText>
      </w:r>
      <w:r w:rsidR="00931CDA" w:rsidRPr="0018307F">
        <w:fldChar w:fldCharType="separate"/>
      </w:r>
      <w:r w:rsidR="008B109F" w:rsidRPr="0018307F">
        <w:rPr>
          <w:noProof/>
          <w:vertAlign w:val="superscript"/>
        </w:rPr>
        <w:t>[9]</w:t>
      </w:r>
      <w:r w:rsidR="00931CDA" w:rsidRPr="0018307F">
        <w:fldChar w:fldCharType="end"/>
      </w:r>
      <w:r w:rsidR="00A240C6">
        <w:t xml:space="preserve"> </w:t>
      </w:r>
      <w:r w:rsidR="00294FC9">
        <w:t xml:space="preserve">Rearranging Equation </w:t>
      </w:r>
      <w:r w:rsidR="003164CC">
        <w:t>4</w:t>
      </w:r>
      <w:r w:rsidR="00294FC9">
        <w:t>.3, the</w:t>
      </w:r>
      <w:r w:rsidR="00217694">
        <w:t xml:space="preserve"> diffusion coefficient and </w:t>
      </w:r>
      <w:r w:rsidR="001233F8" w:rsidRPr="00CC5EA6">
        <w:rPr>
          <w:i/>
        </w:rPr>
        <w:t>δ</w:t>
      </w:r>
      <w:r w:rsidR="001233F8">
        <w:t xml:space="preserve"> can be combined to give the mass transfer coefficient, </w:t>
      </w:r>
      <w:r w:rsidR="00217694">
        <w:t>k</w:t>
      </w:r>
      <w:r w:rsidR="00217694" w:rsidRPr="00187435">
        <w:rPr>
          <w:vertAlign w:val="subscript"/>
        </w:rPr>
        <w:t>c</w:t>
      </w:r>
      <w:r w:rsidR="001233F8">
        <w:t xml:space="preserve">, as shown in Equation </w:t>
      </w:r>
      <w:r w:rsidR="003164CC">
        <w:t>4</w:t>
      </w:r>
      <w:r w:rsidR="001233F8">
        <w:t>.4:</w:t>
      </w:r>
      <w:r w:rsidR="00217694">
        <w:t xml:space="preserve"> </w:t>
      </w:r>
    </w:p>
    <w:p w14:paraId="52C651C6" w14:textId="77777777" w:rsidR="006B3FCA" w:rsidRDefault="006B3FCA" w:rsidP="006655F5">
      <w:pPr>
        <w:spacing w:line="240" w:lineRule="auto"/>
        <w:jc w:val="both"/>
      </w:pPr>
    </w:p>
    <w:p w14:paraId="6CE7201F" w14:textId="0B339E1C" w:rsidR="001233F8" w:rsidRDefault="00E87563" w:rsidP="006655F5">
      <w:pPr>
        <w:spacing w:line="240" w:lineRule="auto"/>
        <w:jc w:val="right"/>
      </w:pPr>
      <m:oMath>
        <m:sSub>
          <m:sSubPr>
            <m:ctrlPr>
              <w:rPr>
                <w:rFonts w:ascii="Cambria Math" w:hAnsi="Cambria Math"/>
                <w:i/>
              </w:rPr>
            </m:ctrlPr>
          </m:sSubPr>
          <m:e>
            <m:r>
              <w:rPr>
                <w:rFonts w:ascii="Cambria Math" w:hAnsi="Cambria Math"/>
              </w:rPr>
              <m:t>i</m:t>
            </m:r>
          </m:e>
          <m:sub>
            <m:r>
              <w:rPr>
                <w:rFonts w:ascii="Cambria Math" w:hAnsi="Cambria Math"/>
              </w:rPr>
              <m:t>lim</m:t>
            </m:r>
          </m:sub>
        </m:sSub>
        <m:r>
          <w:rPr>
            <w:rFonts w:ascii="Cambria Math" w:hAnsi="Cambria Math"/>
          </w:rPr>
          <m:t>=</m:t>
        </m:r>
        <m:f>
          <m:fPr>
            <m:ctrlPr>
              <w:rPr>
                <w:rFonts w:ascii="Cambria Math" w:hAnsi="Cambria Math"/>
                <w:i/>
              </w:rPr>
            </m:ctrlPr>
          </m:fPr>
          <m:num>
            <m:r>
              <w:rPr>
                <w:rFonts w:ascii="Cambria Math" w:hAnsi="Cambria Math"/>
              </w:rPr>
              <m:t>nF</m:t>
            </m:r>
          </m:num>
          <m:den>
            <m:sSub>
              <m:sSubPr>
                <m:ctrlPr>
                  <w:rPr>
                    <w:rFonts w:ascii="Cambria Math" w:hAnsi="Cambria Math"/>
                    <w:i/>
                  </w:rPr>
                </m:ctrlPr>
              </m:sSubPr>
              <m:e>
                <m:r>
                  <w:rPr>
                    <w:rFonts w:ascii="Cambria Math" w:hAnsi="Cambria Math"/>
                  </w:rPr>
                  <m:t>s</m:t>
                </m:r>
              </m:e>
              <m:sub>
                <m:r>
                  <w:rPr>
                    <w:rFonts w:ascii="Cambria Math" w:hAnsi="Cambria Math"/>
                  </w:rPr>
                  <m:t>j</m:t>
                </m:r>
              </m:sub>
            </m:sSub>
          </m:den>
        </m:f>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e,j</m:t>
                    </m:r>
                  </m:sub>
                </m:sSub>
              </m:num>
              <m:den>
                <m:r>
                  <w:rPr>
                    <w:rFonts w:ascii="Cambria Math" w:hAnsi="Cambria Math"/>
                  </w:rPr>
                  <m:t>δ</m:t>
                </m:r>
              </m:den>
            </m:f>
            <m:r>
              <w:rPr>
                <w:rFonts w:ascii="Cambria Math" w:hAnsi="Cambria Math"/>
              </w:rPr>
              <m:t xml:space="preserve"> </m:t>
            </m:r>
          </m:e>
        </m:d>
        <m:sSub>
          <m:sSubPr>
            <m:ctrlPr>
              <w:rPr>
                <w:rFonts w:ascii="Cambria Math" w:hAnsi="Cambria Math"/>
                <w:i/>
              </w:rPr>
            </m:ctrlPr>
          </m:sSubPr>
          <m:e>
            <m:r>
              <w:rPr>
                <w:rFonts w:ascii="Cambria Math" w:hAnsi="Cambria Math"/>
              </w:rPr>
              <m:t>C</m:t>
            </m:r>
          </m:e>
          <m:sub>
            <m:r>
              <w:rPr>
                <w:rFonts w:ascii="Cambria Math" w:hAnsi="Cambria Math"/>
              </w:rPr>
              <m:t>j, b</m:t>
            </m:r>
          </m:sub>
        </m:sSub>
        <m:r>
          <w:rPr>
            <w:rFonts w:ascii="Cambria Math" w:hAnsi="Cambria Math"/>
          </w:rPr>
          <m:t xml:space="preserve">= </m:t>
        </m:r>
        <m:f>
          <m:fPr>
            <m:ctrlPr>
              <w:rPr>
                <w:rFonts w:ascii="Cambria Math" w:hAnsi="Cambria Math"/>
                <w:i/>
              </w:rPr>
            </m:ctrlPr>
          </m:fPr>
          <m:num>
            <m:r>
              <w:rPr>
                <w:rFonts w:ascii="Cambria Math" w:hAnsi="Cambria Math"/>
              </w:rPr>
              <m:t>nF</m:t>
            </m:r>
          </m:num>
          <m:den>
            <m:sSub>
              <m:sSubPr>
                <m:ctrlPr>
                  <w:rPr>
                    <w:rFonts w:ascii="Cambria Math" w:hAnsi="Cambria Math"/>
                    <w:i/>
                  </w:rPr>
                </m:ctrlPr>
              </m:sSubPr>
              <m:e>
                <m:r>
                  <w:rPr>
                    <w:rFonts w:ascii="Cambria Math" w:hAnsi="Cambria Math"/>
                  </w:rPr>
                  <m:t>s</m:t>
                </m:r>
              </m:e>
              <m:sub>
                <m:r>
                  <w:rPr>
                    <w:rFonts w:ascii="Cambria Math" w:hAnsi="Cambria Math"/>
                  </w:rPr>
                  <m:t>j</m:t>
                </m:r>
              </m:sub>
            </m:sSub>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j, b</m:t>
            </m:r>
          </m:sub>
        </m:sSub>
        <m:r>
          <w:rPr>
            <w:rFonts w:ascii="Cambria Math" w:hAnsi="Cambria Math"/>
          </w:rPr>
          <m:t xml:space="preserve"> </m:t>
        </m:r>
      </m:oMath>
      <w:r w:rsidR="00CC5EA6">
        <w:tab/>
      </w:r>
      <w:r w:rsidR="00CC5EA6">
        <w:tab/>
      </w:r>
      <w:r w:rsidR="00CC5EA6">
        <w:tab/>
      </w:r>
      <w:r w:rsidR="00CC5EA6">
        <w:tab/>
      </w:r>
      <w:r w:rsidR="008F18C6">
        <w:t>(4</w:t>
      </w:r>
      <w:r w:rsidR="001233F8">
        <w:t>.4)</w:t>
      </w:r>
    </w:p>
    <w:p w14:paraId="49A11212" w14:textId="77777777" w:rsidR="001233F8" w:rsidRDefault="001233F8" w:rsidP="006655F5">
      <w:pPr>
        <w:spacing w:line="240" w:lineRule="auto"/>
        <w:jc w:val="both"/>
      </w:pPr>
    </w:p>
    <w:p w14:paraId="519B1F33" w14:textId="7957AF63" w:rsidR="00217694" w:rsidRDefault="0062405B" w:rsidP="006655F5">
      <w:pPr>
        <w:spacing w:line="240" w:lineRule="auto"/>
        <w:jc w:val="both"/>
      </w:pPr>
      <w:r>
        <w:t xml:space="preserve">In this work, experimentally-measured </w:t>
      </w:r>
      <w:r>
        <w:rPr>
          <w:i/>
          <w:iCs/>
        </w:rPr>
        <w:t>i</w:t>
      </w:r>
      <w:r>
        <w:rPr>
          <w:i/>
          <w:iCs/>
          <w:vertAlign w:val="subscript"/>
        </w:rPr>
        <w:t>lim</w:t>
      </w:r>
      <w:r>
        <w:t xml:space="preserve"> values for bare Pt electrodes, combined with the known bulk concentration of the limiting reactant, were used to compute values of </w:t>
      </w:r>
      <w:r>
        <w:rPr>
          <w:i/>
          <w:iCs/>
        </w:rPr>
        <w:t>k</w:t>
      </w:r>
      <w:r>
        <w:rPr>
          <w:i/>
          <w:iCs/>
          <w:vertAlign w:val="subscript"/>
        </w:rPr>
        <w:t>c</w:t>
      </w:r>
      <w:r>
        <w:t>.</w:t>
      </w:r>
      <w:r>
        <w:rPr>
          <w:i/>
          <w:iCs/>
        </w:rPr>
        <w:t xml:space="preserve"> </w:t>
      </w:r>
      <w:r w:rsidR="00217694">
        <w:t xml:space="preserve">For </w:t>
      </w:r>
      <w:r w:rsidR="001233F8">
        <w:t>the experimental set-up and conditions used in this study,</w:t>
      </w:r>
      <w:r w:rsidR="00217694">
        <w:t xml:space="preserve"> </w:t>
      </w:r>
      <w:r w:rsidR="00217694" w:rsidRPr="00CC5EA6">
        <w:rPr>
          <w:i/>
        </w:rPr>
        <w:t>k</w:t>
      </w:r>
      <w:r w:rsidR="00217694" w:rsidRPr="00CC5EA6">
        <w:rPr>
          <w:i/>
          <w:vertAlign w:val="subscript"/>
        </w:rPr>
        <w:t>c</w:t>
      </w:r>
      <w:r w:rsidR="00217694">
        <w:t xml:space="preserve"> </w:t>
      </w:r>
      <w:r w:rsidR="001233F8">
        <w:t xml:space="preserve">values </w:t>
      </w:r>
      <w:r w:rsidR="00217694">
        <w:t>were calculated to be 7</w:t>
      </w:r>
      <w:r w:rsidR="003647D8">
        <w:t>.0 ± 0.3</w:t>
      </w:r>
      <w:r w:rsidR="00217694">
        <w:t xml:space="preserve"> and 16.6 ± 0.9 </w:t>
      </w:r>
      <w:r w:rsidR="00217694">
        <w:rPr>
          <w:rStyle w:val="e24kjd"/>
        </w:rPr>
        <w:t>× 10</w:t>
      </w:r>
      <w:r w:rsidR="00217694" w:rsidRPr="00C73F50">
        <w:rPr>
          <w:rStyle w:val="e24kjd"/>
          <w:vertAlign w:val="superscript"/>
        </w:rPr>
        <w:t>-3</w:t>
      </w:r>
      <w:r w:rsidR="00217694">
        <w:t xml:space="preserve"> cm</w:t>
      </w:r>
      <w:r w:rsidR="00217694" w:rsidRPr="00C73F50">
        <w:rPr>
          <w:vertAlign w:val="superscript"/>
        </w:rPr>
        <w:t>2</w:t>
      </w:r>
      <w:r w:rsidR="00217694">
        <w:t xml:space="preserve"> s</w:t>
      </w:r>
      <w:r w:rsidR="00217694" w:rsidRPr="002C3BC0">
        <w:rPr>
          <w:vertAlign w:val="superscript"/>
        </w:rPr>
        <w:t>-1</w:t>
      </w:r>
      <w:r w:rsidR="00217694">
        <w:t xml:space="preserve"> </w:t>
      </w:r>
      <w:r w:rsidR="001233F8">
        <w:t>for H</w:t>
      </w:r>
      <w:r w:rsidR="001233F8">
        <w:rPr>
          <w:vertAlign w:val="superscript"/>
        </w:rPr>
        <w:t>+</w:t>
      </w:r>
      <w:r w:rsidR="001233F8">
        <w:t xml:space="preserve"> (from HER experiments) and O</w:t>
      </w:r>
      <w:r w:rsidR="001233F8">
        <w:rPr>
          <w:vertAlign w:val="subscript"/>
        </w:rPr>
        <w:t>2</w:t>
      </w:r>
      <w:r w:rsidR="001233F8">
        <w:t xml:space="preserve"> (from ORR experiments) diffusion across the DBL, </w:t>
      </w:r>
      <w:r w:rsidR="00217694">
        <w:t xml:space="preserve">respectively. </w:t>
      </w:r>
    </w:p>
    <w:p w14:paraId="632CA2F3" w14:textId="77777777" w:rsidR="0084009F" w:rsidRDefault="0084009F" w:rsidP="006655F5">
      <w:pPr>
        <w:spacing w:line="240" w:lineRule="auto"/>
        <w:jc w:val="both"/>
      </w:pPr>
    </w:p>
    <w:p w14:paraId="46DEE223" w14:textId="7899524A" w:rsidR="004027A6" w:rsidRPr="00294FC9" w:rsidRDefault="004027A6" w:rsidP="006655F5">
      <w:pPr>
        <w:spacing w:line="240" w:lineRule="auto"/>
        <w:jc w:val="both"/>
        <w:rPr>
          <w:b/>
          <w:bCs/>
        </w:rPr>
      </w:pPr>
      <w:r w:rsidRPr="004027A6">
        <w:rPr>
          <w:b/>
          <w:bCs/>
        </w:rPr>
        <w:t>4.</w:t>
      </w:r>
      <w:r>
        <w:rPr>
          <w:b/>
          <w:bCs/>
        </w:rPr>
        <w:t>2</w:t>
      </w:r>
      <w:r w:rsidRPr="004027A6">
        <w:rPr>
          <w:b/>
          <w:bCs/>
        </w:rPr>
        <w:t xml:space="preserve"> Calculating </w:t>
      </w:r>
      <w:r>
        <w:rPr>
          <w:b/>
          <w:bCs/>
        </w:rPr>
        <w:t>Permeability</w:t>
      </w:r>
      <w:r w:rsidR="00655A5E">
        <w:rPr>
          <w:b/>
          <w:bCs/>
        </w:rPr>
        <w:t xml:space="preserve"> Coefficients</w:t>
      </w:r>
      <w:r w:rsidRPr="004027A6">
        <w:rPr>
          <w:b/>
          <w:bCs/>
        </w:rPr>
        <w:t xml:space="preserve"> for a</w:t>
      </w:r>
      <w:r>
        <w:rPr>
          <w:b/>
          <w:bCs/>
        </w:rPr>
        <w:t>n SiO</w:t>
      </w:r>
      <w:r w:rsidRPr="004027A6">
        <w:rPr>
          <w:b/>
          <w:bCs/>
          <w:vertAlign w:val="subscript"/>
        </w:rPr>
        <w:t>x</w:t>
      </w:r>
      <w:r>
        <w:rPr>
          <w:b/>
          <w:bCs/>
        </w:rPr>
        <w:t>C</w:t>
      </w:r>
      <w:r w:rsidRPr="004027A6">
        <w:rPr>
          <w:b/>
          <w:bCs/>
          <w:vertAlign w:val="subscript"/>
        </w:rPr>
        <w:t>y</w:t>
      </w:r>
      <w:r>
        <w:rPr>
          <w:b/>
          <w:bCs/>
        </w:rPr>
        <w:t xml:space="preserve"> Encapsulated</w:t>
      </w:r>
      <w:r w:rsidR="00294FC9">
        <w:rPr>
          <w:b/>
          <w:bCs/>
        </w:rPr>
        <w:t xml:space="preserve"> Pt Electrode </w:t>
      </w:r>
    </w:p>
    <w:p w14:paraId="4708D898" w14:textId="62F3477F" w:rsidR="00217694" w:rsidRDefault="00E4525E" w:rsidP="006655F5">
      <w:pPr>
        <w:spacing w:line="240" w:lineRule="auto"/>
        <w:jc w:val="both"/>
      </w:pPr>
      <w:r>
        <w:lastRenderedPageBreak/>
        <w:t>F</w:t>
      </w:r>
      <w:r w:rsidR="00217694">
        <w:t xml:space="preserve">or encapsulated </w:t>
      </w:r>
      <w:r>
        <w:t>electrodes, the limiting current density is affected not only by diffusion of electroactive species across the DBL, but also diffusion across the overlayer. As a result, concentration gradients develop across both layers,</w:t>
      </w:r>
      <w:r w:rsidR="00CC42DC">
        <w:t xml:space="preserve"> </w:t>
      </w:r>
      <w:r>
        <w:t xml:space="preserve">as </w:t>
      </w:r>
      <w:r w:rsidR="00CC42DC">
        <w:t>depicted in Figure S10</w:t>
      </w:r>
      <w:r w:rsidR="007E7FCF">
        <w:t>b</w:t>
      </w:r>
      <w:r w:rsidR="00294FC9">
        <w:t>.</w:t>
      </w:r>
      <w:r w:rsidR="00215450">
        <w:t xml:space="preserve"> </w:t>
      </w:r>
      <w:r w:rsidR="00217694">
        <w:t xml:space="preserve">The flux of species </w:t>
      </w:r>
      <w:r>
        <w:rPr>
          <w:i/>
          <w:iCs/>
        </w:rPr>
        <w:t xml:space="preserve">j </w:t>
      </w:r>
      <w:r>
        <w:t xml:space="preserve">across </w:t>
      </w:r>
      <w:r w:rsidR="00830688">
        <w:t>the DBL (</w:t>
      </w:r>
      <w:r w:rsidR="00830688">
        <w:rPr>
          <w:i/>
          <w:iCs/>
        </w:rPr>
        <w:t>N</w:t>
      </w:r>
      <w:r w:rsidR="00830688">
        <w:rPr>
          <w:i/>
          <w:iCs/>
          <w:vertAlign w:val="subscript"/>
        </w:rPr>
        <w:t>j,DBL</w:t>
      </w:r>
      <w:r w:rsidR="00830688">
        <w:t>) and overlayer (</w:t>
      </w:r>
      <w:r w:rsidR="00830688">
        <w:rPr>
          <w:i/>
          <w:iCs/>
        </w:rPr>
        <w:t>N</w:t>
      </w:r>
      <w:r w:rsidR="00830688">
        <w:rPr>
          <w:i/>
          <w:iCs/>
          <w:vertAlign w:val="subscript"/>
        </w:rPr>
        <w:t>j,o</w:t>
      </w:r>
      <w:r w:rsidR="00830688">
        <w:t xml:space="preserve">) </w:t>
      </w:r>
      <w:r w:rsidR="00217694">
        <w:t xml:space="preserve"> </w:t>
      </w:r>
      <w:r w:rsidR="00CC42DC">
        <w:t xml:space="preserve">can be described </w:t>
      </w:r>
      <w:r>
        <w:t xml:space="preserve">by two different </w:t>
      </w:r>
      <w:r w:rsidR="00CC42DC">
        <w:t xml:space="preserve">Fick’s law </w:t>
      </w:r>
      <w:r>
        <w:t xml:space="preserve">expressions based on the  thickness and concentration drops across each </w:t>
      </w:r>
      <w:r w:rsidR="005A360A">
        <w:t>respective</w:t>
      </w:r>
      <w:r w:rsidR="00CC42DC">
        <w:t xml:space="preserve"> layer</w:t>
      </w:r>
      <w:r>
        <w:t>:</w:t>
      </w:r>
      <w:r w:rsidR="00217694">
        <w:t xml:space="preserve"> </w:t>
      </w:r>
    </w:p>
    <w:p w14:paraId="396A1CBB" w14:textId="77777777" w:rsidR="00217694" w:rsidRDefault="00217694" w:rsidP="006655F5">
      <w:pPr>
        <w:spacing w:line="240" w:lineRule="auto"/>
        <w:jc w:val="both"/>
      </w:pPr>
    </w:p>
    <w:p w14:paraId="36DCFFC9" w14:textId="7AFC0B52" w:rsidR="00217694" w:rsidRPr="00217EC4" w:rsidRDefault="00E87563" w:rsidP="006655F5">
      <w:pPr>
        <w:spacing w:line="240" w:lineRule="auto"/>
        <w:jc w:val="right"/>
        <w:rPr>
          <w:szCs w:val="24"/>
        </w:rPr>
      </w:pP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j,  DBL</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D</m:t>
            </m:r>
          </m:e>
          <m:sub>
            <m:r>
              <w:rPr>
                <w:rFonts w:ascii="Cambria Math" w:hAnsi="Cambria Math"/>
                <w:szCs w:val="24"/>
              </w:rPr>
              <m:t>e,j</m:t>
            </m:r>
          </m:sub>
        </m:sSub>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C</m:t>
                </m:r>
              </m:e>
              <m:sub>
                <m:r>
                  <w:rPr>
                    <w:rFonts w:ascii="Cambria Math" w:hAnsi="Cambria Math"/>
                    <w:szCs w:val="24"/>
                  </w:rPr>
                  <m:t>j, b</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j</m:t>
                </m:r>
              </m:sub>
            </m:sSub>
            <m:d>
              <m:dPr>
                <m:ctrlPr>
                  <w:rPr>
                    <w:rFonts w:ascii="Cambria Math" w:hAnsi="Cambria Math"/>
                    <w:i/>
                    <w:szCs w:val="24"/>
                  </w:rPr>
                </m:ctrlPr>
              </m:dPr>
              <m:e>
                <m:r>
                  <w:rPr>
                    <w:rFonts w:ascii="Cambria Math" w:hAnsi="Cambria Math"/>
                    <w:szCs w:val="24"/>
                  </w:rPr>
                  <m:t>x=</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O</m:t>
                    </m:r>
                  </m:sub>
                </m:sSub>
              </m:e>
            </m:d>
          </m:num>
          <m:den>
            <m:r>
              <w:rPr>
                <w:rFonts w:ascii="Cambria Math" w:hAnsi="Cambria Math"/>
                <w:szCs w:val="24"/>
              </w:rPr>
              <m:t>δ</m:t>
            </m:r>
          </m:den>
        </m:f>
        <m:r>
          <w:rPr>
            <w:rFonts w:ascii="Cambria Math" w:hAnsi="Cambria Math"/>
            <w:szCs w:val="24"/>
          </w:rPr>
          <m:t>=-</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c</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j, b</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j</m:t>
            </m:r>
          </m:sub>
        </m:sSub>
        <m:d>
          <m:dPr>
            <m:ctrlPr>
              <w:rPr>
                <w:rFonts w:ascii="Cambria Math" w:hAnsi="Cambria Math"/>
                <w:i/>
                <w:szCs w:val="24"/>
              </w:rPr>
            </m:ctrlPr>
          </m:dPr>
          <m:e>
            <m:r>
              <w:rPr>
                <w:rFonts w:ascii="Cambria Math" w:hAnsi="Cambria Math"/>
                <w:szCs w:val="24"/>
              </w:rPr>
              <m:t>x=</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O</m:t>
                </m:r>
              </m:sub>
            </m:sSub>
          </m:e>
        </m:d>
        <m:r>
          <w:rPr>
            <w:rFonts w:ascii="Cambria Math" w:hAnsi="Cambria Math"/>
            <w:szCs w:val="24"/>
          </w:rPr>
          <m:t>)</m:t>
        </m:r>
      </m:oMath>
      <w:r w:rsidR="00217694" w:rsidRPr="00217EC4">
        <w:rPr>
          <w:szCs w:val="24"/>
        </w:rPr>
        <w:t xml:space="preserve"> </w:t>
      </w:r>
      <w:r w:rsidR="00217EC4" w:rsidRPr="00217EC4">
        <w:rPr>
          <w:szCs w:val="24"/>
        </w:rPr>
        <w:t xml:space="preserve">       </w:t>
      </w:r>
      <w:r w:rsidR="00217EC4">
        <w:rPr>
          <w:szCs w:val="24"/>
        </w:rPr>
        <w:t xml:space="preserve">              </w:t>
      </w:r>
      <w:r w:rsidR="007F4827" w:rsidRPr="00217EC4">
        <w:rPr>
          <w:szCs w:val="24"/>
        </w:rPr>
        <w:t xml:space="preserve"> </w:t>
      </w:r>
      <w:r w:rsidR="008F18C6" w:rsidRPr="00217EC4">
        <w:rPr>
          <w:szCs w:val="24"/>
        </w:rPr>
        <w:t>(4</w:t>
      </w:r>
      <w:r w:rsidR="0084009F" w:rsidRPr="00217EC4">
        <w:rPr>
          <w:szCs w:val="24"/>
        </w:rPr>
        <w:t>.</w:t>
      </w:r>
      <w:r w:rsidR="00E4525E" w:rsidRPr="00217EC4">
        <w:rPr>
          <w:szCs w:val="24"/>
        </w:rPr>
        <w:t>5</w:t>
      </w:r>
      <w:r w:rsidR="00217694" w:rsidRPr="00217EC4">
        <w:rPr>
          <w:szCs w:val="24"/>
        </w:rPr>
        <w:t>)</w:t>
      </w:r>
    </w:p>
    <w:p w14:paraId="30C05E93" w14:textId="77777777" w:rsidR="00217EC4" w:rsidRPr="00217EC4" w:rsidRDefault="00217EC4" w:rsidP="006655F5">
      <w:pPr>
        <w:spacing w:line="240" w:lineRule="auto"/>
        <w:jc w:val="right"/>
        <w:rPr>
          <w:szCs w:val="24"/>
        </w:rPr>
      </w:pPr>
    </w:p>
    <w:p w14:paraId="574D914B" w14:textId="407AB60E" w:rsidR="00217694" w:rsidRPr="00E54B67" w:rsidRDefault="00E87563" w:rsidP="006655F5">
      <w:pPr>
        <w:spacing w:line="240" w:lineRule="auto"/>
        <w:jc w:val="right"/>
      </w:pP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j,  o</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D</m:t>
            </m:r>
          </m:e>
          <m:sub>
            <m:r>
              <w:rPr>
                <w:rFonts w:ascii="Cambria Math" w:hAnsi="Cambria Math"/>
                <w:szCs w:val="24"/>
              </w:rPr>
              <m:t>e,j</m:t>
            </m:r>
          </m:sub>
        </m:sSub>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C</m:t>
                </m:r>
              </m:e>
              <m:sub>
                <m:r>
                  <w:rPr>
                    <w:rFonts w:ascii="Cambria Math" w:hAnsi="Cambria Math"/>
                    <w:szCs w:val="24"/>
                  </w:rPr>
                  <m:t>j,o</m:t>
                </m:r>
              </m:sub>
            </m:sSub>
            <m:d>
              <m:dPr>
                <m:ctrlPr>
                  <w:rPr>
                    <w:rFonts w:ascii="Cambria Math" w:hAnsi="Cambria Math"/>
                    <w:i/>
                    <w:szCs w:val="24"/>
                  </w:rPr>
                </m:ctrlPr>
              </m:dPr>
              <m:e>
                <m:r>
                  <w:rPr>
                    <w:rFonts w:ascii="Cambria Math" w:hAnsi="Cambria Math"/>
                    <w:szCs w:val="24"/>
                  </w:rPr>
                  <m:t>x=</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O</m:t>
                    </m:r>
                  </m:sub>
                </m:sSub>
              </m:e>
            </m:d>
            <m:r>
              <w:rPr>
                <w:rFonts w:ascii="Cambria Math" w:hAnsi="Cambria Math"/>
                <w:szCs w:val="24"/>
              </w:rPr>
              <m:t>-0</m:t>
            </m:r>
          </m:num>
          <m:den>
            <m:sSub>
              <m:sSubPr>
                <m:ctrlPr>
                  <w:rPr>
                    <w:rFonts w:ascii="Cambria Math" w:hAnsi="Cambria Math"/>
                    <w:i/>
                    <w:szCs w:val="24"/>
                  </w:rPr>
                </m:ctrlPr>
              </m:sSubPr>
              <m:e>
                <m:r>
                  <w:rPr>
                    <w:rFonts w:ascii="Cambria Math" w:hAnsi="Cambria Math"/>
                    <w:szCs w:val="24"/>
                  </w:rPr>
                  <m:t>t</m:t>
                </m:r>
              </m:e>
              <m:sub>
                <m:r>
                  <w:rPr>
                    <w:rFonts w:ascii="Cambria Math" w:hAnsi="Cambria Math"/>
                    <w:szCs w:val="24"/>
                  </w:rPr>
                  <m:t>O</m:t>
                </m:r>
              </m:sub>
            </m:sSub>
          </m:den>
        </m:f>
      </m:oMath>
      <w:r w:rsidR="00217694" w:rsidRPr="00217EC4">
        <w:rPr>
          <w:szCs w:val="24"/>
        </w:rPr>
        <w:t xml:space="preserve"> </w:t>
      </w:r>
      <w:r w:rsidR="00217EC4" w:rsidRPr="00217EC4">
        <w:rPr>
          <w:szCs w:val="24"/>
        </w:rPr>
        <w:t xml:space="preserve"> </w:t>
      </w:r>
      <w:r w:rsidR="00217EC4" w:rsidRPr="00217EC4">
        <w:rPr>
          <w:szCs w:val="24"/>
        </w:rPr>
        <w:tab/>
      </w:r>
      <w:r w:rsidR="00217EC4" w:rsidRPr="00217EC4">
        <w:rPr>
          <w:szCs w:val="24"/>
        </w:rPr>
        <w:tab/>
      </w:r>
      <w:r w:rsidR="00217EC4">
        <w:tab/>
        <w:t xml:space="preserve">    </w:t>
      </w:r>
      <w:r w:rsidR="00217EC4">
        <w:tab/>
        <w:t xml:space="preserve">    </w:t>
      </w:r>
      <w:r w:rsidR="008F18C6">
        <w:t>(4</w:t>
      </w:r>
      <w:r w:rsidR="0084009F">
        <w:t>.</w:t>
      </w:r>
      <w:r w:rsidR="00E4525E">
        <w:t>6</w:t>
      </w:r>
      <w:r w:rsidR="00217694">
        <w:t>)</w:t>
      </w:r>
    </w:p>
    <w:p w14:paraId="55CBCAD4" w14:textId="77777777" w:rsidR="00217694" w:rsidRDefault="00217694" w:rsidP="006655F5">
      <w:pPr>
        <w:spacing w:line="240" w:lineRule="auto"/>
        <w:jc w:val="both"/>
      </w:pPr>
    </w:p>
    <w:p w14:paraId="3BF609EF" w14:textId="49B36F9B" w:rsidR="00CD491E" w:rsidRDefault="00EC3652" w:rsidP="006655F5">
      <w:pPr>
        <w:spacing w:line="240" w:lineRule="auto"/>
        <w:jc w:val="both"/>
      </w:pPr>
      <w:r>
        <w:t xml:space="preserve">where </w:t>
      </w:r>
      <w:r>
        <w:rPr>
          <w:i/>
          <w:iCs/>
        </w:rPr>
        <w:t>c</w:t>
      </w:r>
      <w:r>
        <w:rPr>
          <w:i/>
          <w:iCs/>
          <w:vertAlign w:val="subscript"/>
        </w:rPr>
        <w:t>j,o</w:t>
      </w:r>
      <w:r>
        <w:rPr>
          <w:i/>
          <w:iCs/>
        </w:rPr>
        <w:t xml:space="preserve"> </w:t>
      </w:r>
      <w:r>
        <w:t xml:space="preserve">is the concentration of species j within the overlayer. </w:t>
      </w:r>
      <w:r w:rsidR="00CD491E">
        <w:t xml:space="preserve">To account for the differences in solubility of species </w:t>
      </w:r>
      <w:r w:rsidR="00CD491E">
        <w:rPr>
          <w:i/>
          <w:iCs/>
        </w:rPr>
        <w:t>j</w:t>
      </w:r>
      <w:r w:rsidR="00CC5EA6">
        <w:t xml:space="preserve"> in the overlayer and the</w:t>
      </w:r>
      <w:r w:rsidR="00CD491E">
        <w:t xml:space="preserve"> liquid electrolyte, a solubility parameter </w:t>
      </w:r>
      <w:r w:rsidR="00CD491E" w:rsidRPr="00CC5EA6">
        <w:rPr>
          <w:i/>
        </w:rPr>
        <w:t>S</w:t>
      </w:r>
      <w:r w:rsidR="00CD491E" w:rsidRPr="00CC5EA6">
        <w:rPr>
          <w:i/>
          <w:vertAlign w:val="subscript"/>
        </w:rPr>
        <w:t>j</w:t>
      </w:r>
      <w:r w:rsidR="00CD491E">
        <w:t xml:space="preserve">, shown in Equation </w:t>
      </w:r>
      <w:r w:rsidR="003164CC">
        <w:t>4</w:t>
      </w:r>
      <w:r w:rsidR="00CD491E">
        <w:t xml:space="preserve">.7, can be introduced to relate </w:t>
      </w:r>
      <w:r w:rsidR="00CD491E" w:rsidRPr="00CC5EA6">
        <w:rPr>
          <w:i/>
        </w:rPr>
        <w:t>C</w:t>
      </w:r>
      <w:r w:rsidR="00CD491E" w:rsidRPr="00CC5EA6">
        <w:rPr>
          <w:i/>
          <w:vertAlign w:val="subscript"/>
        </w:rPr>
        <w:t>j</w:t>
      </w:r>
      <w:r w:rsidR="00CD491E" w:rsidRPr="00CC5EA6">
        <w:rPr>
          <w:i/>
        </w:rPr>
        <w:t>(x = t</w:t>
      </w:r>
      <w:r w:rsidR="00CD491E" w:rsidRPr="00CC5EA6">
        <w:rPr>
          <w:i/>
          <w:vertAlign w:val="subscript"/>
        </w:rPr>
        <w:t>O</w:t>
      </w:r>
      <w:r w:rsidR="00CD491E" w:rsidRPr="00CC5EA6">
        <w:rPr>
          <w:i/>
        </w:rPr>
        <w:t>),</w:t>
      </w:r>
      <w:r w:rsidR="00CD491E">
        <w:t xml:space="preserve"> the concentration of species </w:t>
      </w:r>
      <w:r w:rsidR="00CD491E" w:rsidRPr="00CC5EA6">
        <w:rPr>
          <w:i/>
        </w:rPr>
        <w:t>j</w:t>
      </w:r>
      <w:r w:rsidR="00CD491E">
        <w:t xml:space="preserve"> in liquid electrolyte phase at </w:t>
      </w:r>
      <w:r w:rsidR="00CD491E">
        <w:rPr>
          <w:i/>
          <w:iCs/>
        </w:rPr>
        <w:t>x</w:t>
      </w:r>
      <w:r w:rsidR="00CD491E">
        <w:t xml:space="preserve"> = </w:t>
      </w:r>
      <w:r w:rsidR="00CD491E">
        <w:rPr>
          <w:i/>
          <w:iCs/>
        </w:rPr>
        <w:t>t</w:t>
      </w:r>
      <w:r w:rsidR="00CD491E">
        <w:rPr>
          <w:i/>
          <w:iCs/>
          <w:vertAlign w:val="subscript"/>
        </w:rPr>
        <w:t>O</w:t>
      </w:r>
      <w:r w:rsidR="00CD491E">
        <w:rPr>
          <w:vertAlign w:val="subscript"/>
        </w:rPr>
        <w:t xml:space="preserve"> </w:t>
      </w:r>
      <w:r w:rsidR="00CD491E">
        <w:t>to C</w:t>
      </w:r>
      <w:r w:rsidR="00CD491E">
        <w:rPr>
          <w:vertAlign w:val="subscript"/>
        </w:rPr>
        <w:t>j,o</w:t>
      </w:r>
      <w:r w:rsidR="00CD491E">
        <w:t>(</w:t>
      </w:r>
      <w:r w:rsidR="00CD491E" w:rsidRPr="00C73F50">
        <w:rPr>
          <w:i/>
        </w:rPr>
        <w:t>x</w:t>
      </w:r>
      <w:r w:rsidR="00CD491E">
        <w:t xml:space="preserve"> = t</w:t>
      </w:r>
      <w:r w:rsidR="00CD491E">
        <w:rPr>
          <w:vertAlign w:val="subscript"/>
        </w:rPr>
        <w:t>O</w:t>
      </w:r>
      <w:r w:rsidR="00CD491E">
        <w:t xml:space="preserve">), the concentration of species </w:t>
      </w:r>
      <w:r w:rsidR="00CD491E">
        <w:rPr>
          <w:i/>
          <w:iCs/>
        </w:rPr>
        <w:t xml:space="preserve">j </w:t>
      </w:r>
      <w:r w:rsidR="00CD491E">
        <w:t>within the overlayer on the other side of the interface.</w:t>
      </w:r>
    </w:p>
    <w:p w14:paraId="68E7EA1E" w14:textId="77777777" w:rsidR="00CD491E" w:rsidRDefault="00CD491E" w:rsidP="006655F5">
      <w:pPr>
        <w:spacing w:line="240" w:lineRule="auto"/>
        <w:jc w:val="both"/>
      </w:pPr>
    </w:p>
    <w:p w14:paraId="240D6800" w14:textId="153427B6" w:rsidR="00CD491E" w:rsidRDefault="00E87563" w:rsidP="006655F5">
      <w:pPr>
        <w:spacing w:line="240" w:lineRule="auto"/>
        <w:jc w:val="right"/>
      </w:pPr>
      <m:oMath>
        <m:sSub>
          <m:sSubPr>
            <m:ctrlPr>
              <w:rPr>
                <w:rFonts w:ascii="Cambria Math" w:hAnsi="Cambria Math"/>
                <w:i/>
              </w:rPr>
            </m:ctrlPr>
          </m:sSubPr>
          <m:e>
            <m:r>
              <w:rPr>
                <w:rFonts w:ascii="Cambria Math" w:hAnsi="Cambria Math"/>
              </w:rPr>
              <m:t>S</m:t>
            </m:r>
          </m:e>
          <m:sub>
            <m:r>
              <w:rPr>
                <w:rFonts w:ascii="Cambria Math" w:hAnsi="Cambria Math"/>
              </w:rPr>
              <m:t>j</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j,o</m:t>
                </m:r>
              </m:sub>
            </m:sSub>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t</m:t>
                    </m:r>
                  </m:e>
                  <m:sub>
                    <m:r>
                      <w:rPr>
                        <w:rFonts w:ascii="Cambria Math" w:hAnsi="Cambria Math"/>
                      </w:rPr>
                      <m:t>O</m:t>
                    </m:r>
                  </m:sub>
                </m:sSub>
              </m:e>
            </m:d>
          </m:num>
          <m:den>
            <m:sSub>
              <m:sSubPr>
                <m:ctrlPr>
                  <w:rPr>
                    <w:rFonts w:ascii="Cambria Math" w:hAnsi="Cambria Math"/>
                    <w:i/>
                  </w:rPr>
                </m:ctrlPr>
              </m:sSubPr>
              <m:e>
                <m:r>
                  <w:rPr>
                    <w:rFonts w:ascii="Cambria Math" w:hAnsi="Cambria Math"/>
                  </w:rPr>
                  <m:t>C</m:t>
                </m:r>
              </m:e>
              <m:sub>
                <m:r>
                  <w:rPr>
                    <w:rFonts w:ascii="Cambria Math" w:hAnsi="Cambria Math"/>
                  </w:rPr>
                  <m:t>j</m:t>
                </m:r>
              </m:sub>
            </m:sSub>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t</m:t>
                    </m:r>
                  </m:e>
                  <m:sub>
                    <m:r>
                      <w:rPr>
                        <w:rFonts w:ascii="Cambria Math" w:hAnsi="Cambria Math"/>
                      </w:rPr>
                      <m:t>O</m:t>
                    </m:r>
                  </m:sub>
                </m:sSub>
              </m:e>
            </m:d>
          </m:den>
        </m:f>
      </m:oMath>
      <w:r w:rsidR="00CD491E">
        <w:t xml:space="preserve">   </w:t>
      </w:r>
      <w:r w:rsidR="00A71F9D">
        <w:t xml:space="preserve">                            </w:t>
      </w:r>
      <w:r w:rsidR="00CD491E">
        <w:t xml:space="preserve">                            </w:t>
      </w:r>
      <w:r w:rsidR="008F18C6">
        <w:t>(4</w:t>
      </w:r>
      <w:r w:rsidR="00CD491E">
        <w:t>.7)</w:t>
      </w:r>
    </w:p>
    <w:p w14:paraId="0CE41DB4" w14:textId="77777777" w:rsidR="00217EC4" w:rsidRDefault="00217EC4" w:rsidP="006655F5">
      <w:pPr>
        <w:spacing w:line="240" w:lineRule="auto"/>
        <w:jc w:val="right"/>
      </w:pPr>
    </w:p>
    <w:p w14:paraId="34786852" w14:textId="66547B73" w:rsidR="00CD491E" w:rsidRDefault="00CD491E" w:rsidP="006655F5">
      <w:pPr>
        <w:spacing w:line="240" w:lineRule="auto"/>
      </w:pPr>
      <w:r>
        <w:t>Using Equation (</w:t>
      </w:r>
      <w:r w:rsidR="003164CC">
        <w:t>4</w:t>
      </w:r>
      <w:r>
        <w:t>.7), Equation (</w:t>
      </w:r>
      <w:r w:rsidR="003164CC">
        <w:t>4</w:t>
      </w:r>
      <w:r>
        <w:t xml:space="preserve">.6) can then be written in terms of </w:t>
      </w:r>
      <w:r>
        <w:rPr>
          <w:i/>
          <w:iCs/>
        </w:rPr>
        <w:t>S</w:t>
      </w:r>
      <w:r>
        <w:rPr>
          <w:i/>
          <w:iCs/>
          <w:vertAlign w:val="subscript"/>
        </w:rPr>
        <w:t>j</w:t>
      </w:r>
      <w:r>
        <w:t>:</w:t>
      </w:r>
    </w:p>
    <w:p w14:paraId="61BE1DE0" w14:textId="77777777" w:rsidR="006B3FCA" w:rsidRPr="00A12C3D" w:rsidRDefault="006B3FCA" w:rsidP="006655F5">
      <w:pPr>
        <w:spacing w:line="240" w:lineRule="auto"/>
      </w:pPr>
    </w:p>
    <w:p w14:paraId="315B9F71" w14:textId="3C28EEE7" w:rsidR="00CD491E" w:rsidRDefault="00E87563" w:rsidP="006655F5">
      <w:pPr>
        <w:spacing w:line="240" w:lineRule="auto"/>
        <w:jc w:val="right"/>
      </w:pPr>
      <m:oMath>
        <m:sSub>
          <m:sSubPr>
            <m:ctrlPr>
              <w:rPr>
                <w:rFonts w:ascii="Cambria Math" w:hAnsi="Cambria Math"/>
                <w:i/>
              </w:rPr>
            </m:ctrlPr>
          </m:sSubPr>
          <m:e>
            <m:r>
              <w:rPr>
                <w:rFonts w:ascii="Cambria Math" w:hAnsi="Cambria Math"/>
              </w:rPr>
              <m:t>N</m:t>
            </m:r>
          </m:e>
          <m:sub>
            <m:r>
              <w:rPr>
                <w:rFonts w:ascii="Cambria Math" w:hAnsi="Cambria Math"/>
              </w:rPr>
              <m:t>j,  o</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S</m:t>
                </m:r>
              </m:e>
              <m:sub>
                <m:r>
                  <w:rPr>
                    <w:rFonts w:ascii="Cambria Math" w:hAnsi="Cambria Math"/>
                  </w:rPr>
                  <m:t>j</m:t>
                </m:r>
              </m:sub>
            </m:sSub>
            <m:r>
              <w:rPr>
                <w:rFonts w:ascii="Cambria Math" w:hAnsi="Cambria Math"/>
              </w:rPr>
              <m:t>∙D</m:t>
            </m:r>
          </m:e>
          <m:sub>
            <m:r>
              <w:rPr>
                <w:rFonts w:ascii="Cambria Math" w:hAnsi="Cambria Math"/>
              </w:rPr>
              <m:t>e,j</m:t>
            </m:r>
          </m:sub>
        </m:sSub>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j</m:t>
                </m:r>
              </m:sub>
            </m:sSub>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t</m:t>
                    </m:r>
                  </m:e>
                  <m:sub>
                    <m:r>
                      <w:rPr>
                        <w:rFonts w:ascii="Cambria Math" w:hAnsi="Cambria Math"/>
                      </w:rPr>
                      <m:t>O</m:t>
                    </m:r>
                  </m:sub>
                </m:sSub>
              </m:e>
            </m:d>
          </m:num>
          <m:den>
            <m:sSub>
              <m:sSubPr>
                <m:ctrlPr>
                  <w:rPr>
                    <w:rFonts w:ascii="Cambria Math" w:hAnsi="Cambria Math"/>
                    <w:i/>
                  </w:rPr>
                </m:ctrlPr>
              </m:sSubPr>
              <m:e>
                <m:r>
                  <w:rPr>
                    <w:rFonts w:ascii="Cambria Math" w:hAnsi="Cambria Math"/>
                  </w:rPr>
                  <m:t>t</m:t>
                </m:r>
              </m:e>
              <m:sub>
                <m:r>
                  <w:rPr>
                    <w:rFonts w:ascii="Cambria Math" w:hAnsi="Cambria Math"/>
                  </w:rPr>
                  <m:t>O</m:t>
                </m:r>
              </m:sub>
            </m:sSub>
          </m:den>
        </m:f>
      </m:oMath>
      <w:r w:rsidR="00CD491E">
        <w:t xml:space="preserve">            </w:t>
      </w:r>
      <w:r w:rsidR="00A71F9D">
        <w:t xml:space="preserve">       </w:t>
      </w:r>
      <w:r w:rsidR="00CD491E">
        <w:t xml:space="preserve">                              </w:t>
      </w:r>
      <w:r w:rsidR="008F18C6">
        <w:t>(4</w:t>
      </w:r>
      <w:r w:rsidR="00CD491E">
        <w:t>.8)</w:t>
      </w:r>
    </w:p>
    <w:p w14:paraId="415CB99A" w14:textId="77777777" w:rsidR="006B3FCA" w:rsidRDefault="006B3FCA" w:rsidP="006655F5">
      <w:pPr>
        <w:spacing w:line="240" w:lineRule="auto"/>
        <w:jc w:val="right"/>
      </w:pPr>
    </w:p>
    <w:p w14:paraId="7CA79209" w14:textId="6049FA71" w:rsidR="00CD491E" w:rsidRDefault="00CD491E" w:rsidP="006655F5">
      <w:pPr>
        <w:spacing w:line="240" w:lineRule="auto"/>
      </w:pPr>
      <w:r>
        <w:t xml:space="preserve">and by defining the permeability of species </w:t>
      </w:r>
      <w:r>
        <w:rPr>
          <w:i/>
          <w:iCs/>
        </w:rPr>
        <w:t>j</w:t>
      </w:r>
      <w:r>
        <w:t xml:space="preserve"> as the product of </w:t>
      </w:r>
      <w:r>
        <w:rPr>
          <w:i/>
          <w:iCs/>
        </w:rPr>
        <w:t>S</w:t>
      </w:r>
      <w:r>
        <w:rPr>
          <w:i/>
          <w:iCs/>
          <w:vertAlign w:val="subscript"/>
        </w:rPr>
        <w:t>j</w:t>
      </w:r>
      <w:r>
        <w:t xml:space="preserve"> and </w:t>
      </w:r>
      <w:r w:rsidRPr="00294FC9">
        <w:rPr>
          <w:i/>
          <w:iCs/>
        </w:rPr>
        <w:t>D</w:t>
      </w:r>
      <w:r w:rsidRPr="00294FC9">
        <w:rPr>
          <w:i/>
          <w:iCs/>
          <w:vertAlign w:val="subscript"/>
        </w:rPr>
        <w:t>e,j</w:t>
      </w:r>
      <w:r w:rsidR="006952F2">
        <w:t xml:space="preserve">: </w:t>
      </w:r>
    </w:p>
    <w:p w14:paraId="1119BC89" w14:textId="77777777" w:rsidR="006B3FCA" w:rsidRPr="00CD491E" w:rsidRDefault="006B3FCA" w:rsidP="006655F5">
      <w:pPr>
        <w:spacing w:line="240" w:lineRule="auto"/>
      </w:pPr>
    </w:p>
    <w:p w14:paraId="1BD1228A" w14:textId="5BFD0ADA" w:rsidR="006952F2" w:rsidRDefault="00E87563" w:rsidP="006655F5">
      <w:pPr>
        <w:spacing w:line="240" w:lineRule="auto"/>
        <w:jc w:val="right"/>
      </w:pPr>
      <m:oMath>
        <m:sSub>
          <m:sSubPr>
            <m:ctrlPr>
              <w:rPr>
                <w:rFonts w:ascii="Cambria Math" w:hAnsi="Cambria Math"/>
                <w:i/>
              </w:rPr>
            </m:ctrlPr>
          </m:sSubPr>
          <m:e>
            <m:r>
              <w:rPr>
                <w:rFonts w:ascii="Cambria Math" w:hAnsi="Cambria Math"/>
              </w:rPr>
              <m:t>N</m:t>
            </m:r>
          </m:e>
          <m:sub>
            <m:r>
              <w:rPr>
                <w:rFonts w:ascii="Cambria Math" w:hAnsi="Cambria Math"/>
              </w:rPr>
              <m:t>j,  o</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j</m:t>
            </m:r>
          </m:sub>
        </m:sSub>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j</m:t>
                </m:r>
              </m:sub>
            </m:sSub>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t</m:t>
                    </m:r>
                  </m:e>
                  <m:sub>
                    <m:r>
                      <w:rPr>
                        <w:rFonts w:ascii="Cambria Math" w:hAnsi="Cambria Math"/>
                      </w:rPr>
                      <m:t>O</m:t>
                    </m:r>
                  </m:sub>
                </m:sSub>
              </m:e>
            </m:d>
          </m:num>
          <m:den>
            <m:sSub>
              <m:sSubPr>
                <m:ctrlPr>
                  <w:rPr>
                    <w:rFonts w:ascii="Cambria Math" w:hAnsi="Cambria Math"/>
                    <w:i/>
                  </w:rPr>
                </m:ctrlPr>
              </m:sSubPr>
              <m:e>
                <m:r>
                  <w:rPr>
                    <w:rFonts w:ascii="Cambria Math" w:hAnsi="Cambria Math"/>
                  </w:rPr>
                  <m:t>t</m:t>
                </m:r>
              </m:e>
              <m:sub>
                <m:r>
                  <w:rPr>
                    <w:rFonts w:ascii="Cambria Math" w:hAnsi="Cambria Math"/>
                  </w:rPr>
                  <m:t>O</m:t>
                </m:r>
              </m:sub>
            </m:sSub>
          </m:den>
        </m:f>
      </m:oMath>
      <w:r w:rsidR="006952F2">
        <w:t xml:space="preserve">               </w:t>
      </w:r>
      <w:r w:rsidR="00A71F9D">
        <w:t xml:space="preserve">           </w:t>
      </w:r>
      <w:r w:rsidR="006952F2">
        <w:t xml:space="preserve">                           </w:t>
      </w:r>
      <w:r w:rsidR="008F18C6">
        <w:t>(4</w:t>
      </w:r>
      <w:r w:rsidR="006952F2">
        <w:t>.9)</w:t>
      </w:r>
    </w:p>
    <w:p w14:paraId="199BF426" w14:textId="77777777" w:rsidR="006B3FCA" w:rsidRDefault="006B3FCA" w:rsidP="006655F5">
      <w:pPr>
        <w:spacing w:line="240" w:lineRule="auto"/>
        <w:jc w:val="right"/>
      </w:pPr>
    </w:p>
    <w:p w14:paraId="10C45A8D" w14:textId="2B7E8EE2" w:rsidR="00655A5E" w:rsidRDefault="0062405B" w:rsidP="006655F5">
      <w:pPr>
        <w:spacing w:line="240" w:lineRule="auto"/>
        <w:jc w:val="both"/>
      </w:pPr>
      <w:r>
        <w:t xml:space="preserve">At steady state, the flux of species </w:t>
      </w:r>
      <w:r w:rsidRPr="00A10A23">
        <w:rPr>
          <w:i/>
        </w:rPr>
        <w:t>j</w:t>
      </w:r>
      <w:r>
        <w:t xml:space="preserve"> through </w:t>
      </w:r>
      <w:r w:rsidR="006952F2">
        <w:t>the overlayer and the DBL</w:t>
      </w:r>
      <w:r>
        <w:t xml:space="preserve"> must be equivalent, meaning that </w:t>
      </w:r>
      <w:r>
        <w:rPr>
          <w:i/>
          <w:iCs/>
        </w:rPr>
        <w:t>N</w:t>
      </w:r>
      <w:r>
        <w:rPr>
          <w:i/>
          <w:iCs/>
          <w:vertAlign w:val="subscript"/>
        </w:rPr>
        <w:t>j,DBL</w:t>
      </w:r>
      <w:r>
        <w:t xml:space="preserve"> = </w:t>
      </w:r>
      <w:r>
        <w:rPr>
          <w:i/>
          <w:iCs/>
        </w:rPr>
        <w:t>N</w:t>
      </w:r>
      <w:r>
        <w:rPr>
          <w:i/>
          <w:iCs/>
          <w:vertAlign w:val="subscript"/>
        </w:rPr>
        <w:t>j,o</w:t>
      </w:r>
      <w:r w:rsidR="00CA1C1B">
        <w:t>.</w:t>
      </w:r>
      <w:r w:rsidR="00655A5E">
        <w:t xml:space="preserve"> </w:t>
      </w:r>
      <w:r w:rsidR="00CA1C1B">
        <w:t xml:space="preserve">It then follows from </w:t>
      </w:r>
      <w:r w:rsidR="006A1A48">
        <w:t>Equation</w:t>
      </w:r>
      <w:r w:rsidR="00655A5E">
        <w:t xml:space="preserve"> </w:t>
      </w:r>
      <w:r w:rsidR="003164CC">
        <w:t>4</w:t>
      </w:r>
      <w:r w:rsidR="00655A5E">
        <w:t xml:space="preserve">.2, </w:t>
      </w:r>
      <w:r w:rsidR="003164CC">
        <w:t>4</w:t>
      </w:r>
      <w:r w:rsidR="00655A5E">
        <w:t xml:space="preserve">.5, and </w:t>
      </w:r>
      <w:r w:rsidR="003164CC">
        <w:t>4</w:t>
      </w:r>
      <w:r w:rsidR="00655A5E">
        <w:t>.</w:t>
      </w:r>
      <w:r w:rsidR="006952F2">
        <w:t>9</w:t>
      </w:r>
      <w:r w:rsidR="00CA1C1B">
        <w:t xml:space="preserve"> that the limiting current density for the encapsulated electrode, </w:t>
      </w:r>
      <w:r w:rsidR="00CA1C1B">
        <w:rPr>
          <w:i/>
          <w:iCs/>
        </w:rPr>
        <w:t>i</w:t>
      </w:r>
      <w:r w:rsidR="00CA1C1B">
        <w:rPr>
          <w:i/>
          <w:iCs/>
          <w:vertAlign w:val="subscript"/>
        </w:rPr>
        <w:t>lim,SiOx|Pt</w:t>
      </w:r>
      <w:r w:rsidR="00CD491E">
        <w:t>, is given by</w:t>
      </w:r>
      <w:r w:rsidR="00655A5E">
        <w:t>:</w:t>
      </w:r>
    </w:p>
    <w:p w14:paraId="098973B3" w14:textId="77777777" w:rsidR="00655A5E" w:rsidRDefault="00655A5E" w:rsidP="006655F5">
      <w:pPr>
        <w:spacing w:line="240" w:lineRule="auto"/>
        <w:jc w:val="both"/>
      </w:pPr>
    </w:p>
    <w:p w14:paraId="1CE9C03E" w14:textId="59090471" w:rsidR="00655A5E" w:rsidRDefault="00E87563" w:rsidP="006655F5">
      <w:pPr>
        <w:spacing w:line="240" w:lineRule="auto"/>
        <w:jc w:val="right"/>
      </w:pPr>
      <m:oMath>
        <m:sSub>
          <m:sSubPr>
            <m:ctrlPr>
              <w:rPr>
                <w:rFonts w:ascii="Cambria Math" w:hAnsi="Cambria Math"/>
                <w:i/>
                <w:szCs w:val="24"/>
              </w:rPr>
            </m:ctrlPr>
          </m:sSubPr>
          <m:e>
            <m:r>
              <w:rPr>
                <w:rFonts w:ascii="Cambria Math" w:hAnsi="Cambria Math"/>
                <w:szCs w:val="24"/>
              </w:rPr>
              <m:t>i</m:t>
            </m:r>
          </m:e>
          <m:sub>
            <m:r>
              <w:rPr>
                <w:rFonts w:ascii="Cambria Math" w:hAnsi="Cambria Math"/>
                <w:szCs w:val="24"/>
              </w:rPr>
              <m:t>lim,SiOx|Pt</m:t>
            </m:r>
          </m:sub>
        </m:sSub>
        <m:r>
          <w:rPr>
            <w:rFonts w:ascii="Cambria Math" w:hAnsi="Cambria Math"/>
            <w:szCs w:val="24"/>
          </w:rPr>
          <m:t>=-</m:t>
        </m:r>
        <m:f>
          <m:fPr>
            <m:ctrlPr>
              <w:rPr>
                <w:rFonts w:ascii="Cambria Math" w:hAnsi="Cambria Math"/>
                <w:i/>
                <w:szCs w:val="24"/>
              </w:rPr>
            </m:ctrlPr>
          </m:fPr>
          <m:num>
            <m:r>
              <w:rPr>
                <w:rFonts w:ascii="Cambria Math" w:hAnsi="Cambria Math"/>
                <w:szCs w:val="24"/>
              </w:rPr>
              <m:t>nF</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c</m:t>
                </m:r>
              </m:sub>
            </m:sSub>
          </m:num>
          <m:den>
            <m:sSub>
              <m:sSubPr>
                <m:ctrlPr>
                  <w:rPr>
                    <w:rFonts w:ascii="Cambria Math" w:hAnsi="Cambria Math"/>
                    <w:i/>
                    <w:szCs w:val="24"/>
                  </w:rPr>
                </m:ctrlPr>
              </m:sSubPr>
              <m:e>
                <m:r>
                  <w:rPr>
                    <w:rFonts w:ascii="Cambria Math" w:hAnsi="Cambria Math"/>
                    <w:szCs w:val="24"/>
                  </w:rPr>
                  <m:t>s</m:t>
                </m:r>
              </m:e>
              <m:sub>
                <m:r>
                  <w:rPr>
                    <w:rFonts w:ascii="Cambria Math" w:hAnsi="Cambria Math"/>
                    <w:szCs w:val="24"/>
                  </w:rPr>
                  <m:t>j</m:t>
                </m:r>
              </m:sub>
            </m:sSub>
          </m:den>
        </m:f>
        <m:r>
          <w:rPr>
            <w:rFonts w:ascii="Cambria Math" w:hAnsi="Cambria Math"/>
            <w:szCs w:val="24"/>
          </w:rPr>
          <m:t>∙</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j, b</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j</m:t>
            </m:r>
          </m:sub>
        </m:sSub>
        <m:d>
          <m:dPr>
            <m:ctrlPr>
              <w:rPr>
                <w:rFonts w:ascii="Cambria Math" w:hAnsi="Cambria Math"/>
                <w:i/>
                <w:szCs w:val="24"/>
              </w:rPr>
            </m:ctrlPr>
          </m:dPr>
          <m:e>
            <m:r>
              <w:rPr>
                <w:rFonts w:ascii="Cambria Math" w:hAnsi="Cambria Math"/>
                <w:szCs w:val="24"/>
              </w:rPr>
              <m:t>x=</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O</m:t>
                </m:r>
              </m:sub>
            </m:sSub>
          </m:e>
        </m:d>
        <m:r>
          <w:rPr>
            <w:rFonts w:ascii="Cambria Math" w:hAnsi="Cambria Math"/>
            <w:szCs w:val="24"/>
          </w:rPr>
          <m:t>)=-</m:t>
        </m:r>
        <m:f>
          <m:fPr>
            <m:ctrlPr>
              <w:rPr>
                <w:rFonts w:ascii="Cambria Math" w:hAnsi="Cambria Math"/>
                <w:i/>
                <w:szCs w:val="24"/>
              </w:rPr>
            </m:ctrlPr>
          </m:fPr>
          <m:num>
            <m:r>
              <w:rPr>
                <w:rFonts w:ascii="Cambria Math" w:hAnsi="Cambria Math"/>
                <w:szCs w:val="24"/>
              </w:rPr>
              <m:t>nF</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j</m:t>
                </m:r>
              </m:sub>
            </m:sSub>
          </m:num>
          <m:den>
            <m:sSub>
              <m:sSubPr>
                <m:ctrlPr>
                  <w:rPr>
                    <w:rFonts w:ascii="Cambria Math" w:hAnsi="Cambria Math"/>
                    <w:i/>
                    <w:szCs w:val="24"/>
                  </w:rPr>
                </m:ctrlPr>
              </m:sSubPr>
              <m:e>
                <m:r>
                  <w:rPr>
                    <w:rFonts w:ascii="Cambria Math" w:hAnsi="Cambria Math"/>
                    <w:szCs w:val="24"/>
                  </w:rPr>
                  <m:t>s</m:t>
                </m:r>
              </m:e>
              <m:sub>
                <m:r>
                  <w:rPr>
                    <w:rFonts w:ascii="Cambria Math" w:hAnsi="Cambria Math"/>
                    <w:szCs w:val="24"/>
                  </w:rPr>
                  <m:t>j</m:t>
                </m:r>
              </m:sub>
            </m:sSub>
          </m:den>
        </m:f>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C</m:t>
                </m:r>
              </m:e>
              <m:sub>
                <m:r>
                  <w:rPr>
                    <w:rFonts w:ascii="Cambria Math" w:hAnsi="Cambria Math"/>
                    <w:szCs w:val="24"/>
                  </w:rPr>
                  <m:t>j</m:t>
                </m:r>
              </m:sub>
            </m:sSub>
            <m:d>
              <m:dPr>
                <m:ctrlPr>
                  <w:rPr>
                    <w:rFonts w:ascii="Cambria Math" w:hAnsi="Cambria Math"/>
                    <w:i/>
                    <w:szCs w:val="24"/>
                  </w:rPr>
                </m:ctrlPr>
              </m:dPr>
              <m:e>
                <m:r>
                  <w:rPr>
                    <w:rFonts w:ascii="Cambria Math" w:hAnsi="Cambria Math"/>
                    <w:szCs w:val="24"/>
                  </w:rPr>
                  <m:t>x=</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O</m:t>
                    </m:r>
                  </m:sub>
                </m:sSub>
              </m:e>
            </m:d>
          </m:num>
          <m:den>
            <m:sSub>
              <m:sSubPr>
                <m:ctrlPr>
                  <w:rPr>
                    <w:rFonts w:ascii="Cambria Math" w:hAnsi="Cambria Math"/>
                    <w:i/>
                    <w:szCs w:val="24"/>
                  </w:rPr>
                </m:ctrlPr>
              </m:sSubPr>
              <m:e>
                <m:r>
                  <w:rPr>
                    <w:rFonts w:ascii="Cambria Math" w:hAnsi="Cambria Math"/>
                    <w:szCs w:val="24"/>
                  </w:rPr>
                  <m:t>t</m:t>
                </m:r>
              </m:e>
              <m:sub>
                <m:r>
                  <w:rPr>
                    <w:rFonts w:ascii="Cambria Math" w:hAnsi="Cambria Math"/>
                    <w:szCs w:val="24"/>
                  </w:rPr>
                  <m:t>O</m:t>
                </m:r>
              </m:sub>
            </m:sSub>
          </m:den>
        </m:f>
      </m:oMath>
      <w:r w:rsidR="00CD491E">
        <w:rPr>
          <w:sz w:val="18"/>
          <w:szCs w:val="16"/>
        </w:rPr>
        <w:tab/>
      </w:r>
      <w:r w:rsidR="00217EC4">
        <w:rPr>
          <w:sz w:val="18"/>
          <w:szCs w:val="16"/>
        </w:rPr>
        <w:t xml:space="preserve">     </w:t>
      </w:r>
      <w:r w:rsidR="00A71F9D">
        <w:rPr>
          <w:sz w:val="18"/>
          <w:szCs w:val="16"/>
        </w:rPr>
        <w:t xml:space="preserve">   </w:t>
      </w:r>
      <w:r w:rsidR="008F18C6">
        <w:t>(4</w:t>
      </w:r>
      <w:r w:rsidR="00CD491E" w:rsidRPr="00294FC9">
        <w:t>.</w:t>
      </w:r>
      <w:r w:rsidR="006952F2">
        <w:t>10</w:t>
      </w:r>
      <w:r w:rsidR="00CD491E">
        <w:t>)</w:t>
      </w:r>
    </w:p>
    <w:p w14:paraId="69BB3C0F" w14:textId="77777777" w:rsidR="00C861F9" w:rsidRPr="00294FC9" w:rsidRDefault="00C861F9" w:rsidP="006655F5">
      <w:pPr>
        <w:spacing w:line="240" w:lineRule="auto"/>
        <w:jc w:val="right"/>
        <w:rPr>
          <w:sz w:val="36"/>
          <w:szCs w:val="32"/>
        </w:rPr>
      </w:pPr>
    </w:p>
    <w:p w14:paraId="0FBC219D" w14:textId="6D4B38FA" w:rsidR="00B7161B" w:rsidRDefault="00B7161B" w:rsidP="006655F5">
      <w:pPr>
        <w:spacing w:line="240" w:lineRule="auto"/>
        <w:jc w:val="both"/>
      </w:pPr>
      <w:r>
        <w:t>By rearranging</w:t>
      </w:r>
      <w:r w:rsidR="00F8751F">
        <w:t xml:space="preserve"> the left-hand equality in</w:t>
      </w:r>
      <w:r w:rsidR="006952F2">
        <w:t xml:space="preserve"> Equation (</w:t>
      </w:r>
      <w:r w:rsidR="003164CC">
        <w:t>4</w:t>
      </w:r>
      <w:r w:rsidR="006952F2">
        <w:t>.10), t</w:t>
      </w:r>
      <w:r w:rsidR="00217694">
        <w:t>h</w:t>
      </w:r>
      <w:r w:rsidR="0062405B">
        <w:t>e</w:t>
      </w:r>
      <w:r w:rsidR="00CC42DC">
        <w:t xml:space="preserve"> interfac</w:t>
      </w:r>
      <w:r w:rsidR="0062405B">
        <w:t>ial</w:t>
      </w:r>
      <w:r w:rsidR="00217694">
        <w:t xml:space="preserve"> concentration</w:t>
      </w:r>
      <w:r w:rsidR="0062405B">
        <w:t xml:space="preserve"> of </w:t>
      </w:r>
      <w:r w:rsidR="0062405B" w:rsidRPr="00294FC9">
        <w:rPr>
          <w:i/>
          <w:iCs/>
        </w:rPr>
        <w:t>j</w:t>
      </w:r>
      <w:r w:rsidR="0062405B">
        <w:t xml:space="preserve"> in the liquid phase,</w:t>
      </w:r>
      <w:r w:rsidR="00217694">
        <w:t xml:space="preserve"> </w:t>
      </w:r>
      <w:r w:rsidR="00217694" w:rsidRPr="00294FC9">
        <w:rPr>
          <w:i/>
          <w:iCs/>
        </w:rPr>
        <w:t>C</w:t>
      </w:r>
      <w:r w:rsidR="00217694" w:rsidRPr="00294FC9">
        <w:rPr>
          <w:i/>
          <w:iCs/>
          <w:vertAlign w:val="subscript"/>
        </w:rPr>
        <w:t>j</w:t>
      </w:r>
      <w:r w:rsidR="004A3FC0" w:rsidRPr="00294FC9">
        <w:rPr>
          <w:i/>
          <w:iCs/>
        </w:rPr>
        <w:t>(</w:t>
      </w:r>
      <w:r w:rsidR="004A3FC0" w:rsidRPr="00412286">
        <w:rPr>
          <w:i/>
          <w:iCs/>
        </w:rPr>
        <w:t>x</w:t>
      </w:r>
      <w:r w:rsidR="004A3FC0" w:rsidRPr="00294FC9">
        <w:rPr>
          <w:i/>
          <w:iCs/>
        </w:rPr>
        <w:t>=t</w:t>
      </w:r>
      <w:r w:rsidR="004A3FC0" w:rsidRPr="00294FC9">
        <w:rPr>
          <w:i/>
          <w:iCs/>
          <w:vertAlign w:val="subscript"/>
        </w:rPr>
        <w:t>O</w:t>
      </w:r>
      <w:r w:rsidR="004A3FC0" w:rsidRPr="00294FC9">
        <w:rPr>
          <w:i/>
          <w:iCs/>
        </w:rPr>
        <w:t>)</w:t>
      </w:r>
      <w:r w:rsidR="0062405B">
        <w:t>,</w:t>
      </w:r>
      <w:r w:rsidR="00217694" w:rsidRPr="00C73F50">
        <w:rPr>
          <w:vertAlign w:val="subscript"/>
        </w:rPr>
        <w:t xml:space="preserve"> </w:t>
      </w:r>
      <w:r w:rsidR="00217694">
        <w:t xml:space="preserve">can be </w:t>
      </w:r>
      <w:r w:rsidR="006952F2">
        <w:t>calculated</w:t>
      </w:r>
      <w:r w:rsidR="00217694">
        <w:t xml:space="preserve"> </w:t>
      </w:r>
      <w:r w:rsidR="006952F2">
        <w:t xml:space="preserve">based on i.) the known value of </w:t>
      </w:r>
      <w:r w:rsidR="006952F2" w:rsidRPr="006B3FCA">
        <w:rPr>
          <w:i/>
        </w:rPr>
        <w:t>C</w:t>
      </w:r>
      <w:r w:rsidR="006952F2" w:rsidRPr="006B3FCA">
        <w:rPr>
          <w:i/>
          <w:vertAlign w:val="subscript"/>
        </w:rPr>
        <w:t>j,b</w:t>
      </w:r>
      <w:r w:rsidR="006952F2" w:rsidRPr="006B3FCA">
        <w:t>,</w:t>
      </w:r>
      <w:r w:rsidR="006952F2">
        <w:t xml:space="preserve"> ii.) </w:t>
      </w:r>
      <w:r w:rsidR="00217694">
        <w:t xml:space="preserve">the </w:t>
      </w:r>
      <w:r w:rsidR="006952F2">
        <w:t xml:space="preserve">measured value of </w:t>
      </w:r>
      <w:r w:rsidR="006952F2">
        <w:rPr>
          <w:i/>
          <w:iCs/>
        </w:rPr>
        <w:t>i</w:t>
      </w:r>
      <w:r w:rsidR="006952F2">
        <w:rPr>
          <w:i/>
          <w:iCs/>
          <w:vertAlign w:val="subscript"/>
        </w:rPr>
        <w:t>lim,SiOx|Pt</w:t>
      </w:r>
      <w:r w:rsidR="006952F2">
        <w:t xml:space="preserve">, and iii.)  </w:t>
      </w:r>
      <w:r w:rsidR="00217694">
        <w:t xml:space="preserve">the value </w:t>
      </w:r>
      <w:r w:rsidR="00412286">
        <w:t>of</w:t>
      </w:r>
      <w:r w:rsidR="00217694">
        <w:t xml:space="preserve"> </w:t>
      </w:r>
      <w:r w:rsidR="00217694" w:rsidRPr="006B3FCA">
        <w:rPr>
          <w:i/>
        </w:rPr>
        <w:t>k</w:t>
      </w:r>
      <w:r w:rsidR="00217694" w:rsidRPr="006B3FCA">
        <w:rPr>
          <w:i/>
          <w:vertAlign w:val="subscript"/>
        </w:rPr>
        <w:t>c</w:t>
      </w:r>
      <w:r w:rsidR="00217694">
        <w:t xml:space="preserve"> </w:t>
      </w:r>
      <w:r w:rsidR="00412286">
        <w:t xml:space="preserve">that was determined </w:t>
      </w:r>
      <w:r w:rsidR="00217694">
        <w:t>for bare Pt</w:t>
      </w:r>
      <w:r w:rsidR="00412286">
        <w:t xml:space="preserve"> as described above</w:t>
      </w:r>
      <w:r>
        <w:t>:</w:t>
      </w:r>
    </w:p>
    <w:p w14:paraId="166632BC" w14:textId="77777777" w:rsidR="00C861F9" w:rsidRDefault="00C861F9" w:rsidP="006655F5">
      <w:pPr>
        <w:spacing w:line="240" w:lineRule="auto"/>
        <w:jc w:val="both"/>
      </w:pPr>
    </w:p>
    <w:p w14:paraId="32251E5F" w14:textId="010CDB37" w:rsidR="00B7161B" w:rsidRDefault="00E87563" w:rsidP="006655F5">
      <w:pPr>
        <w:spacing w:line="240" w:lineRule="auto"/>
        <w:jc w:val="right"/>
      </w:pPr>
      <m:oMath>
        <m:sSub>
          <m:sSubPr>
            <m:ctrlPr>
              <w:rPr>
                <w:rFonts w:ascii="Cambria Math" w:hAnsi="Cambria Math"/>
                <w:i/>
                <w:szCs w:val="24"/>
              </w:rPr>
            </m:ctrlPr>
          </m:sSubPr>
          <m:e>
            <m:r>
              <w:rPr>
                <w:rFonts w:ascii="Cambria Math" w:hAnsi="Cambria Math"/>
                <w:szCs w:val="24"/>
              </w:rPr>
              <m:t>C</m:t>
            </m:r>
          </m:e>
          <m:sub>
            <m:r>
              <w:rPr>
                <w:rFonts w:ascii="Cambria Math" w:hAnsi="Cambria Math"/>
                <w:szCs w:val="24"/>
              </w:rPr>
              <m:t>j</m:t>
            </m:r>
          </m:sub>
        </m:sSub>
        <m:d>
          <m:dPr>
            <m:ctrlPr>
              <w:rPr>
                <w:rFonts w:ascii="Cambria Math" w:hAnsi="Cambria Math"/>
                <w:i/>
                <w:szCs w:val="24"/>
              </w:rPr>
            </m:ctrlPr>
          </m:dPr>
          <m:e>
            <m:r>
              <w:rPr>
                <w:rFonts w:ascii="Cambria Math" w:hAnsi="Cambria Math"/>
                <w:szCs w:val="24"/>
              </w:rPr>
              <m:t>x=</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O</m:t>
                </m:r>
              </m:sub>
            </m:sSub>
          </m:e>
        </m:d>
        <m:r>
          <w:rPr>
            <w:rFonts w:ascii="Cambria Math" w:hAnsi="Cambria Math"/>
            <w:szCs w:val="24"/>
          </w:rPr>
          <m:t>=</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j, b</m:t>
            </m:r>
          </m:sub>
        </m:sSub>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j</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lim,SiOx|Pt</m:t>
                </m:r>
              </m:sub>
            </m:sSub>
          </m:num>
          <m:den>
            <m:r>
              <w:rPr>
                <w:rFonts w:ascii="Cambria Math" w:hAnsi="Cambria Math"/>
                <w:szCs w:val="24"/>
              </w:rPr>
              <m:t>nF</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c</m:t>
                </m:r>
              </m:sub>
            </m:sSub>
          </m:den>
        </m:f>
      </m:oMath>
      <w:r w:rsidR="00B7161B">
        <w:t xml:space="preserve">                                     </w:t>
      </w:r>
      <w:r w:rsidR="00A71F9D">
        <w:t xml:space="preserve"> </w:t>
      </w:r>
      <w:r w:rsidR="00B7161B">
        <w:t xml:space="preserve">   </w:t>
      </w:r>
      <w:r w:rsidR="008F18C6">
        <w:t>(4</w:t>
      </w:r>
      <w:r w:rsidR="00B7161B">
        <w:t>.11)</w:t>
      </w:r>
    </w:p>
    <w:p w14:paraId="39A3FAB6" w14:textId="77777777" w:rsidR="00C861F9" w:rsidRDefault="00C861F9" w:rsidP="006655F5">
      <w:pPr>
        <w:spacing w:line="240" w:lineRule="auto"/>
        <w:jc w:val="right"/>
      </w:pPr>
    </w:p>
    <w:p w14:paraId="3D1F5096" w14:textId="33E75C36" w:rsidR="00217694" w:rsidRDefault="00412286" w:rsidP="006655F5">
      <w:pPr>
        <w:spacing w:line="240" w:lineRule="auto"/>
        <w:jc w:val="both"/>
      </w:pPr>
      <w:r>
        <w:t xml:space="preserve">It is important to note that this analysis </w:t>
      </w:r>
      <w:r w:rsidR="00217694">
        <w:t>assu</w:t>
      </w:r>
      <w:r>
        <w:t>mes</w:t>
      </w:r>
      <w:r w:rsidR="00217694">
        <w:t xml:space="preserve"> that </w:t>
      </w:r>
      <w:r>
        <w:rPr>
          <w:i/>
          <w:iCs/>
        </w:rPr>
        <w:t>k</w:t>
      </w:r>
      <w:r>
        <w:rPr>
          <w:i/>
          <w:iCs/>
          <w:vertAlign w:val="subscript"/>
        </w:rPr>
        <w:t>c</w:t>
      </w:r>
      <w:r w:rsidR="00217694">
        <w:t xml:space="preserve"> </w:t>
      </w:r>
      <w:r>
        <w:t xml:space="preserve">is identical for </w:t>
      </w:r>
      <w:r w:rsidR="00217694">
        <w:t>both bare and encapsulated Pt</w:t>
      </w:r>
      <w:r>
        <w:t xml:space="preserve"> electrodes, meaning that the limiting current densities for both electrodes must be measured under identical hydrodynamic conditions</w:t>
      </w:r>
      <w:r w:rsidR="00217694">
        <w:t xml:space="preserve">. </w:t>
      </w:r>
      <w:r>
        <w:t xml:space="preserve">Finally, the calculated value of </w:t>
      </w:r>
      <w:r w:rsidR="00F8751F">
        <w:rPr>
          <w:i/>
          <w:iCs/>
        </w:rPr>
        <w:t>c</w:t>
      </w:r>
      <w:r w:rsidRPr="00910DFC">
        <w:rPr>
          <w:i/>
          <w:iCs/>
          <w:vertAlign w:val="subscript"/>
        </w:rPr>
        <w:t>j</w:t>
      </w:r>
      <w:r w:rsidRPr="00910DFC">
        <w:rPr>
          <w:i/>
          <w:iCs/>
        </w:rPr>
        <w:t>(</w:t>
      </w:r>
      <w:r w:rsidRPr="00412286">
        <w:rPr>
          <w:i/>
          <w:iCs/>
        </w:rPr>
        <w:t>x</w:t>
      </w:r>
      <w:r w:rsidRPr="00910DFC">
        <w:rPr>
          <w:i/>
          <w:iCs/>
        </w:rPr>
        <w:t>=t</w:t>
      </w:r>
      <w:r w:rsidRPr="00910DFC">
        <w:rPr>
          <w:i/>
          <w:iCs/>
          <w:vertAlign w:val="subscript"/>
        </w:rPr>
        <w:t>O</w:t>
      </w:r>
      <w:r w:rsidRPr="00910DFC">
        <w:rPr>
          <w:i/>
          <w:iCs/>
        </w:rPr>
        <w:t>)</w:t>
      </w:r>
      <w:r>
        <w:t xml:space="preserve"> is reinserted into Equation (</w:t>
      </w:r>
      <w:r w:rsidR="003164CC">
        <w:t>4</w:t>
      </w:r>
      <w:r>
        <w:t xml:space="preserve">.10), which can be rearranged to solve for the parameter of interest, </w:t>
      </w:r>
      <w:r>
        <w:rPr>
          <w:i/>
          <w:iCs/>
        </w:rPr>
        <w:t>P</w:t>
      </w:r>
      <w:r>
        <w:rPr>
          <w:i/>
          <w:iCs/>
          <w:vertAlign w:val="subscript"/>
        </w:rPr>
        <w:t>j</w:t>
      </w:r>
      <w:r>
        <w:t xml:space="preserve">: </w:t>
      </w:r>
    </w:p>
    <w:p w14:paraId="7E9032B9" w14:textId="77777777" w:rsidR="00C861F9" w:rsidRDefault="00C861F9" w:rsidP="006655F5">
      <w:pPr>
        <w:spacing w:line="240" w:lineRule="auto"/>
        <w:jc w:val="both"/>
      </w:pPr>
    </w:p>
    <w:p w14:paraId="63F78E2D" w14:textId="4ACBCAB5" w:rsidR="00412286" w:rsidRDefault="00E87563" w:rsidP="006655F5">
      <w:pPr>
        <w:spacing w:line="240" w:lineRule="auto"/>
        <w:jc w:val="right"/>
        <w:rPr>
          <w:szCs w:val="24"/>
        </w:rPr>
      </w:pP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j</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c</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O</m:t>
            </m:r>
          </m:sub>
        </m:sSub>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(C</m:t>
                </m:r>
              </m:e>
              <m:sub>
                <m:r>
                  <w:rPr>
                    <w:rFonts w:ascii="Cambria Math" w:hAnsi="Cambria Math"/>
                    <w:szCs w:val="24"/>
                  </w:rPr>
                  <m:t>j, b</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j</m:t>
                </m:r>
              </m:sub>
            </m:sSub>
            <m:d>
              <m:dPr>
                <m:ctrlPr>
                  <w:rPr>
                    <w:rFonts w:ascii="Cambria Math" w:hAnsi="Cambria Math"/>
                    <w:i/>
                    <w:szCs w:val="24"/>
                  </w:rPr>
                </m:ctrlPr>
              </m:dPr>
              <m:e>
                <m:r>
                  <w:rPr>
                    <w:rFonts w:ascii="Cambria Math" w:hAnsi="Cambria Math"/>
                    <w:szCs w:val="24"/>
                  </w:rPr>
                  <m:t>x=</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O</m:t>
                    </m:r>
                  </m:sub>
                </m:sSub>
              </m:e>
            </m:d>
            <m:r>
              <w:rPr>
                <w:rFonts w:ascii="Cambria Math" w:hAnsi="Cambria Math"/>
                <w:szCs w:val="24"/>
              </w:rPr>
              <m:t>)</m:t>
            </m:r>
          </m:num>
          <m:den>
            <m:sSub>
              <m:sSubPr>
                <m:ctrlPr>
                  <w:rPr>
                    <w:rFonts w:ascii="Cambria Math" w:hAnsi="Cambria Math"/>
                    <w:i/>
                    <w:szCs w:val="24"/>
                  </w:rPr>
                </m:ctrlPr>
              </m:sSubPr>
              <m:e>
                <m:r>
                  <w:rPr>
                    <w:rFonts w:ascii="Cambria Math" w:hAnsi="Cambria Math"/>
                    <w:szCs w:val="24"/>
                  </w:rPr>
                  <m:t>C</m:t>
                </m:r>
              </m:e>
              <m:sub>
                <m:r>
                  <w:rPr>
                    <w:rFonts w:ascii="Cambria Math" w:hAnsi="Cambria Math"/>
                    <w:szCs w:val="24"/>
                  </w:rPr>
                  <m:t>j</m:t>
                </m:r>
              </m:sub>
            </m:sSub>
            <m:d>
              <m:dPr>
                <m:ctrlPr>
                  <w:rPr>
                    <w:rFonts w:ascii="Cambria Math" w:hAnsi="Cambria Math"/>
                    <w:i/>
                    <w:szCs w:val="24"/>
                  </w:rPr>
                </m:ctrlPr>
              </m:dPr>
              <m:e>
                <m:r>
                  <w:rPr>
                    <w:rFonts w:ascii="Cambria Math" w:hAnsi="Cambria Math"/>
                    <w:szCs w:val="24"/>
                  </w:rPr>
                  <m:t>x=</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O</m:t>
                    </m:r>
                  </m:sub>
                </m:sSub>
              </m:e>
            </m:d>
          </m:den>
        </m:f>
      </m:oMath>
      <w:r w:rsidR="00412286" w:rsidRPr="00217EC4">
        <w:rPr>
          <w:szCs w:val="24"/>
        </w:rPr>
        <w:tab/>
      </w:r>
      <w:r w:rsidR="00412286" w:rsidRPr="00217EC4">
        <w:rPr>
          <w:szCs w:val="24"/>
        </w:rPr>
        <w:tab/>
      </w:r>
      <w:r w:rsidR="00B7161B" w:rsidRPr="00217EC4">
        <w:rPr>
          <w:szCs w:val="24"/>
        </w:rPr>
        <w:tab/>
      </w:r>
      <w:r w:rsidR="00A71F9D">
        <w:rPr>
          <w:sz w:val="20"/>
          <w:szCs w:val="20"/>
        </w:rPr>
        <w:t xml:space="preserve">      </w:t>
      </w:r>
      <w:r w:rsidR="00217EC4">
        <w:rPr>
          <w:sz w:val="20"/>
          <w:szCs w:val="20"/>
        </w:rPr>
        <w:t xml:space="preserve">      </w:t>
      </w:r>
      <w:r w:rsidR="00A71F9D">
        <w:rPr>
          <w:sz w:val="20"/>
          <w:szCs w:val="20"/>
        </w:rPr>
        <w:t xml:space="preserve">     </w:t>
      </w:r>
      <w:r w:rsidR="00C321DB">
        <w:rPr>
          <w:szCs w:val="24"/>
        </w:rPr>
        <w:t>(4</w:t>
      </w:r>
      <w:r w:rsidR="00412286" w:rsidRPr="00412286">
        <w:rPr>
          <w:szCs w:val="24"/>
        </w:rPr>
        <w:t>.1</w:t>
      </w:r>
      <w:r w:rsidR="00412286">
        <w:rPr>
          <w:szCs w:val="24"/>
        </w:rPr>
        <w:t>2</w:t>
      </w:r>
      <w:r w:rsidR="00412286" w:rsidRPr="00412286">
        <w:rPr>
          <w:szCs w:val="24"/>
        </w:rPr>
        <w:t>)</w:t>
      </w:r>
    </w:p>
    <w:p w14:paraId="46195988" w14:textId="77777777" w:rsidR="00C861F9" w:rsidRDefault="00C861F9" w:rsidP="006655F5">
      <w:pPr>
        <w:spacing w:line="240" w:lineRule="auto"/>
        <w:jc w:val="right"/>
      </w:pPr>
    </w:p>
    <w:p w14:paraId="6D1D892F" w14:textId="474435D9" w:rsidR="00217694" w:rsidRPr="003E3FCC" w:rsidRDefault="00217694" w:rsidP="006655F5">
      <w:pPr>
        <w:spacing w:line="240" w:lineRule="auto"/>
        <w:jc w:val="both"/>
      </w:pPr>
      <w:r>
        <w:lastRenderedPageBreak/>
        <w:t>For all calculations</w:t>
      </w:r>
      <w:r w:rsidR="001519DE">
        <w:t xml:space="preserve"> reported in this study</w:t>
      </w:r>
      <w:r>
        <w:t xml:space="preserve">, </w:t>
      </w:r>
      <w:r w:rsidR="001519DE">
        <w:t xml:space="preserve">the experimentally measured limiting current densities were </w:t>
      </w:r>
      <w:r>
        <w:t xml:space="preserve">taken as the difference between the limiting current </w:t>
      </w:r>
      <w:r w:rsidR="001519DE">
        <w:t>densities recorded</w:t>
      </w:r>
      <w:r>
        <w:t xml:space="preserve"> for</w:t>
      </w:r>
      <w:r w:rsidR="001519DE">
        <w:t xml:space="preserve"> the reaction of interest (i.e.</w:t>
      </w:r>
      <w:r>
        <w:t xml:space="preserve"> ORR or HER</w:t>
      </w:r>
      <w:r w:rsidR="001519DE">
        <w:t>)</w:t>
      </w:r>
      <w:r>
        <w:t xml:space="preserve"> and the background current</w:t>
      </w:r>
      <w:r w:rsidR="001519DE">
        <w:t xml:space="preserve"> densities</w:t>
      </w:r>
      <w:r>
        <w:t xml:space="preserve"> </w:t>
      </w:r>
      <w:r w:rsidR="001519DE">
        <w:t>recorded with</w:t>
      </w:r>
      <w:r>
        <w:t xml:space="preserve"> an identical ample in supporting electrolyte </w:t>
      </w:r>
      <w:r w:rsidR="001519DE">
        <w:t xml:space="preserve">lacking the </w:t>
      </w:r>
      <w:r>
        <w:t>reactant species</w:t>
      </w:r>
      <w:r w:rsidR="001519DE">
        <w:t xml:space="preserve"> of interest</w:t>
      </w:r>
      <w:r>
        <w:t xml:space="preserve">. </w:t>
      </w:r>
      <w:r w:rsidR="001519DE">
        <w:t>L</w:t>
      </w:r>
      <w:r w:rsidR="005A360A">
        <w:t>imiting current</w:t>
      </w:r>
      <w:r w:rsidR="001519DE">
        <w:t xml:space="preserve"> densities</w:t>
      </w:r>
      <w:r w:rsidR="005A360A">
        <w:t xml:space="preserve"> </w:t>
      </w:r>
      <w:r w:rsidR="00294FC9">
        <w:t>were</w:t>
      </w:r>
      <w:r w:rsidR="005A360A">
        <w:t xml:space="preserve"> taken as an average across a potential range of 0.5 V to 0.2 V vs. RHE for ORR</w:t>
      </w:r>
      <w:r w:rsidR="001519DE">
        <w:t xml:space="preserve"> measurements</w:t>
      </w:r>
      <w:r w:rsidR="005A360A">
        <w:t xml:space="preserve"> and </w:t>
      </w:r>
      <w:r w:rsidR="00F3771A">
        <w:t xml:space="preserve">-0.2 </w:t>
      </w:r>
      <w:r w:rsidR="006B3FCA">
        <w:t xml:space="preserve">V </w:t>
      </w:r>
      <w:r w:rsidR="00F3771A">
        <w:t>to -0.5 V vs. RHE for HER</w:t>
      </w:r>
      <w:r w:rsidR="001519DE">
        <w:t xml:space="preserve"> measurements</w:t>
      </w:r>
      <w:r w:rsidR="00F3771A">
        <w:t>.</w:t>
      </w:r>
      <w:r w:rsidR="005A360A">
        <w:t xml:space="preserve"> </w:t>
      </w:r>
      <w:r>
        <w:t>Species permeability</w:t>
      </w:r>
      <w:r w:rsidR="0039673E">
        <w:t xml:space="preserve"> </w:t>
      </w:r>
      <w:r>
        <w:t xml:space="preserve">was then calculated for samples of all different cure times, with the results presented below in Table S1.  </w:t>
      </w:r>
    </w:p>
    <w:p w14:paraId="2124B528" w14:textId="77777777" w:rsidR="00217694" w:rsidRPr="001C33F8" w:rsidRDefault="00217694" w:rsidP="00217694">
      <w:pPr>
        <w:spacing w:line="240" w:lineRule="auto"/>
        <w:jc w:val="center"/>
        <w:rPr>
          <w:color w:val="FF0000"/>
          <w:highlight w:val="yellow"/>
        </w:rPr>
      </w:pPr>
    </w:p>
    <w:p w14:paraId="1846745C" w14:textId="77777777" w:rsidR="00217694" w:rsidRPr="001C33F8" w:rsidRDefault="00217694" w:rsidP="00217694">
      <w:pPr>
        <w:spacing w:line="240" w:lineRule="auto"/>
        <w:jc w:val="center"/>
        <w:rPr>
          <w:color w:val="FF0000"/>
        </w:rPr>
      </w:pPr>
    </w:p>
    <w:p w14:paraId="61EAA312" w14:textId="01E93C63" w:rsidR="00217694" w:rsidRDefault="00217694" w:rsidP="008E6B7D">
      <w:pPr>
        <w:spacing w:line="240" w:lineRule="auto"/>
        <w:jc w:val="both"/>
      </w:pPr>
      <w:r w:rsidRPr="00554FCB">
        <w:rPr>
          <w:b/>
        </w:rPr>
        <w:t xml:space="preserve">Table S1. </w:t>
      </w:r>
      <w:r w:rsidRPr="00EA2A2A">
        <w:t xml:space="preserve">Calculated </w:t>
      </w:r>
      <w:r w:rsidR="00CE4F87">
        <w:t>p</w:t>
      </w:r>
      <w:r w:rsidRPr="00EA2A2A">
        <w:t xml:space="preserve">ermeability </w:t>
      </w:r>
      <w:r w:rsidR="00CE4F87">
        <w:t>c</w:t>
      </w:r>
      <w:r w:rsidRPr="00EA2A2A">
        <w:t xml:space="preserve">oefficients for </w:t>
      </w:r>
      <w:r w:rsidR="0039673E">
        <w:t>o</w:t>
      </w:r>
      <w:r w:rsidRPr="00EA2A2A">
        <w:t xml:space="preserve">verlayers of </w:t>
      </w:r>
      <w:r w:rsidR="0039673E">
        <w:t>v</w:t>
      </w:r>
      <w:r w:rsidRPr="00EA2A2A">
        <w:t xml:space="preserve">arious </w:t>
      </w:r>
      <w:r w:rsidR="0039673E">
        <w:t>c</w:t>
      </w:r>
      <w:r w:rsidRPr="00EA2A2A">
        <w:t>ur</w:t>
      </w:r>
      <w:r>
        <w:t>e</w:t>
      </w:r>
      <w:r w:rsidRPr="00EA2A2A">
        <w:t xml:space="preserve"> </w:t>
      </w:r>
      <w:r w:rsidR="0039673E">
        <w:t>t</w:t>
      </w:r>
      <w:r w:rsidRPr="00EA2A2A">
        <w:t>ime</w:t>
      </w:r>
      <w:r>
        <w:t>s</w:t>
      </w:r>
      <w:r w:rsidR="00F94FCC">
        <w:t>.  The given uncertainties represen</w:t>
      </w:r>
      <w:r w:rsidR="00CE4F87">
        <w:t>t</w:t>
      </w:r>
      <w:r w:rsidR="00F94FCC">
        <w:t xml:space="preserve"> 95% confidence interval</w:t>
      </w:r>
      <w:r w:rsidR="00CE4F87">
        <w:t xml:space="preserve">s </w:t>
      </w:r>
      <w:r w:rsidR="001519DE">
        <w:t xml:space="preserve">based on measurements for </w:t>
      </w:r>
      <w:r w:rsidR="009450EB">
        <w:t>3</w:t>
      </w:r>
      <w:r w:rsidR="001519DE">
        <w:t xml:space="preserve"> different samples and </w:t>
      </w:r>
      <w:r w:rsidR="00F94FCC">
        <w:t xml:space="preserve">obtained </w:t>
      </w:r>
      <w:r w:rsidR="00CE4F87">
        <w:t xml:space="preserve">from error </w:t>
      </w:r>
      <w:r w:rsidR="00E15019">
        <w:t xml:space="preserve">propagation </w:t>
      </w:r>
      <w:r w:rsidR="007A6B51">
        <w:t>analysis contributed by av</w:t>
      </w:r>
      <w:r w:rsidR="00CE4F87">
        <w:t xml:space="preserve">erage estimates for limiting current </w:t>
      </w:r>
      <w:r w:rsidR="007A6B51">
        <w:t>densities</w:t>
      </w:r>
      <w:r w:rsidR="00CE4F87">
        <w:t xml:space="preserve"> as well as overlayer thick</w:t>
      </w:r>
      <w:r w:rsidR="00E15019">
        <w:t>ness</w:t>
      </w:r>
      <w:r w:rsidR="0039673E">
        <w:t>es</w:t>
      </w:r>
      <w:r w:rsidR="00E15019">
        <w:t xml:space="preserve">. </w:t>
      </w:r>
    </w:p>
    <w:p w14:paraId="017EC57B" w14:textId="57A10765" w:rsidR="00217694" w:rsidRDefault="00217694" w:rsidP="00217694">
      <w:pPr>
        <w:spacing w:line="240" w:lineRule="auto"/>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520"/>
        <w:gridCol w:w="2250"/>
        <w:gridCol w:w="1710"/>
      </w:tblGrid>
      <w:tr w:rsidR="002B60F2" w14:paraId="2D203ACB" w14:textId="77777777" w:rsidTr="002B60F2">
        <w:trPr>
          <w:trHeight w:val="306"/>
          <w:jc w:val="center"/>
        </w:trPr>
        <w:tc>
          <w:tcPr>
            <w:tcW w:w="1890" w:type="dxa"/>
            <w:tcBorders>
              <w:top w:val="single" w:sz="4" w:space="0" w:color="auto"/>
              <w:bottom w:val="single" w:sz="4" w:space="0" w:color="auto"/>
            </w:tcBorders>
            <w:shd w:val="clear" w:color="auto" w:fill="D9D9D9" w:themeFill="background1" w:themeFillShade="D9"/>
          </w:tcPr>
          <w:p w14:paraId="3F5118F6" w14:textId="4A330DC8" w:rsidR="0083284B" w:rsidRPr="002B60F2" w:rsidRDefault="002B60F2" w:rsidP="002B60F2">
            <w:pPr>
              <w:jc w:val="center"/>
              <w:rPr>
                <w:b/>
                <w:bCs/>
              </w:rPr>
            </w:pPr>
            <w:r w:rsidRPr="002B60F2">
              <w:rPr>
                <w:b/>
                <w:bCs/>
              </w:rPr>
              <w:t>Cure time</w:t>
            </w:r>
            <w:r w:rsidR="0083284B" w:rsidRPr="002B60F2">
              <w:rPr>
                <w:b/>
                <w:bCs/>
              </w:rPr>
              <w:t xml:space="preserve"> / min</w:t>
            </w:r>
          </w:p>
        </w:tc>
        <w:tc>
          <w:tcPr>
            <w:tcW w:w="2520" w:type="dxa"/>
            <w:tcBorders>
              <w:top w:val="single" w:sz="4" w:space="0" w:color="auto"/>
              <w:bottom w:val="single" w:sz="4" w:space="0" w:color="auto"/>
            </w:tcBorders>
            <w:shd w:val="clear" w:color="auto" w:fill="D9D9D9" w:themeFill="background1" w:themeFillShade="D9"/>
          </w:tcPr>
          <w:p w14:paraId="25377BCC" w14:textId="6E1425B5" w:rsidR="0083284B" w:rsidRPr="002B60F2" w:rsidRDefault="0083284B" w:rsidP="002B60F2">
            <w:pPr>
              <w:jc w:val="center"/>
              <w:rPr>
                <w:b/>
                <w:bCs/>
              </w:rPr>
            </w:pPr>
            <w:r w:rsidRPr="002B60F2">
              <w:rPr>
                <w:b/>
                <w:bCs/>
              </w:rPr>
              <w:t>P</w:t>
            </w:r>
            <w:r w:rsidRPr="002B60F2">
              <w:rPr>
                <w:b/>
                <w:bCs/>
                <w:vertAlign w:val="subscript"/>
              </w:rPr>
              <w:t>O2</w:t>
            </w:r>
            <w:r w:rsidRPr="002B60F2">
              <w:rPr>
                <w:b/>
                <w:bCs/>
              </w:rPr>
              <w:t xml:space="preserve"> / cm</w:t>
            </w:r>
            <w:r w:rsidRPr="002B60F2">
              <w:rPr>
                <w:b/>
                <w:bCs/>
                <w:vertAlign w:val="superscript"/>
              </w:rPr>
              <w:t>2</w:t>
            </w:r>
            <w:r w:rsidRPr="002B60F2">
              <w:rPr>
                <w:b/>
                <w:bCs/>
              </w:rPr>
              <w:t xml:space="preserve"> s</w:t>
            </w:r>
            <w:r w:rsidRPr="002B60F2">
              <w:rPr>
                <w:b/>
                <w:bCs/>
                <w:vertAlign w:val="superscript"/>
              </w:rPr>
              <w:t>-1</w:t>
            </w:r>
          </w:p>
        </w:tc>
        <w:tc>
          <w:tcPr>
            <w:tcW w:w="2250" w:type="dxa"/>
            <w:tcBorders>
              <w:top w:val="single" w:sz="4" w:space="0" w:color="auto"/>
              <w:bottom w:val="single" w:sz="4" w:space="0" w:color="auto"/>
            </w:tcBorders>
            <w:shd w:val="clear" w:color="auto" w:fill="D9D9D9" w:themeFill="background1" w:themeFillShade="D9"/>
          </w:tcPr>
          <w:p w14:paraId="2DE771B4" w14:textId="60A57688" w:rsidR="0083284B" w:rsidRPr="002B60F2" w:rsidRDefault="0083284B" w:rsidP="002B60F2">
            <w:pPr>
              <w:jc w:val="center"/>
              <w:rPr>
                <w:b/>
                <w:bCs/>
              </w:rPr>
            </w:pPr>
            <w:r w:rsidRPr="002B60F2">
              <w:rPr>
                <w:b/>
                <w:bCs/>
              </w:rPr>
              <w:t>P</w:t>
            </w:r>
            <w:r w:rsidR="002B60F2" w:rsidRPr="002B60F2">
              <w:rPr>
                <w:b/>
                <w:bCs/>
                <w:vertAlign w:val="subscript"/>
              </w:rPr>
              <w:t>H+</w:t>
            </w:r>
            <w:r w:rsidRPr="002B60F2">
              <w:rPr>
                <w:b/>
                <w:bCs/>
              </w:rPr>
              <w:t xml:space="preserve"> / cm</w:t>
            </w:r>
            <w:r w:rsidRPr="002B60F2">
              <w:rPr>
                <w:b/>
                <w:bCs/>
                <w:vertAlign w:val="superscript"/>
              </w:rPr>
              <w:t>2</w:t>
            </w:r>
            <w:r w:rsidRPr="002B60F2">
              <w:rPr>
                <w:b/>
                <w:bCs/>
              </w:rPr>
              <w:t xml:space="preserve"> s</w:t>
            </w:r>
            <w:r w:rsidRPr="002B60F2">
              <w:rPr>
                <w:b/>
                <w:bCs/>
                <w:vertAlign w:val="superscript"/>
              </w:rPr>
              <w:t>-1</w:t>
            </w:r>
          </w:p>
        </w:tc>
        <w:tc>
          <w:tcPr>
            <w:tcW w:w="1710" w:type="dxa"/>
            <w:tcBorders>
              <w:top w:val="single" w:sz="4" w:space="0" w:color="auto"/>
              <w:bottom w:val="single" w:sz="4" w:space="0" w:color="auto"/>
            </w:tcBorders>
            <w:shd w:val="clear" w:color="auto" w:fill="D9D9D9" w:themeFill="background1" w:themeFillShade="D9"/>
          </w:tcPr>
          <w:p w14:paraId="2301C1F6" w14:textId="224DC472" w:rsidR="0083284B" w:rsidRPr="002B60F2" w:rsidRDefault="0039673E" w:rsidP="002B60F2">
            <w:pPr>
              <w:jc w:val="center"/>
              <w:rPr>
                <w:b/>
                <w:bCs/>
              </w:rPr>
            </w:pPr>
            <w:r>
              <w:rPr>
                <w:b/>
                <w:bCs/>
              </w:rPr>
              <w:t>P</w:t>
            </w:r>
            <w:r w:rsidRPr="0039673E">
              <w:rPr>
                <w:b/>
                <w:bCs/>
                <w:vertAlign w:val="subscript"/>
              </w:rPr>
              <w:t>H+/</w:t>
            </w:r>
            <w:r>
              <w:rPr>
                <w:b/>
                <w:bCs/>
              </w:rPr>
              <w:t>P</w:t>
            </w:r>
            <w:r w:rsidRPr="0039673E">
              <w:rPr>
                <w:b/>
                <w:bCs/>
                <w:vertAlign w:val="subscript"/>
              </w:rPr>
              <w:t>O2</w:t>
            </w:r>
          </w:p>
        </w:tc>
      </w:tr>
      <w:tr w:rsidR="002B60F2" w14:paraId="478512F0" w14:textId="77777777" w:rsidTr="002B60F2">
        <w:trPr>
          <w:trHeight w:val="306"/>
          <w:jc w:val="center"/>
        </w:trPr>
        <w:tc>
          <w:tcPr>
            <w:tcW w:w="1890" w:type="dxa"/>
            <w:tcBorders>
              <w:top w:val="single" w:sz="4" w:space="0" w:color="auto"/>
            </w:tcBorders>
          </w:tcPr>
          <w:p w14:paraId="487C496C" w14:textId="272991B7" w:rsidR="002B60F2" w:rsidRDefault="002B60F2" w:rsidP="002B60F2">
            <w:pPr>
              <w:jc w:val="center"/>
            </w:pPr>
            <w:r>
              <w:t>22.5</w:t>
            </w:r>
          </w:p>
        </w:tc>
        <w:tc>
          <w:tcPr>
            <w:tcW w:w="2520" w:type="dxa"/>
            <w:tcBorders>
              <w:top w:val="single" w:sz="4" w:space="0" w:color="auto"/>
            </w:tcBorders>
          </w:tcPr>
          <w:p w14:paraId="63199F9B" w14:textId="2D2B8A82" w:rsidR="002B60F2" w:rsidRDefault="002B60F2" w:rsidP="002B60F2">
            <w:pPr>
              <w:jc w:val="center"/>
            </w:pPr>
            <w:r>
              <w:t>1.79 ± 0.06 × 10</w:t>
            </w:r>
            <w:r w:rsidRPr="0083284B">
              <w:rPr>
                <w:vertAlign w:val="superscript"/>
              </w:rPr>
              <w:t>-7</w:t>
            </w:r>
          </w:p>
        </w:tc>
        <w:tc>
          <w:tcPr>
            <w:tcW w:w="2250" w:type="dxa"/>
            <w:tcBorders>
              <w:top w:val="single" w:sz="4" w:space="0" w:color="auto"/>
            </w:tcBorders>
          </w:tcPr>
          <w:p w14:paraId="3E16296B" w14:textId="66E681C9" w:rsidR="002B60F2" w:rsidRDefault="002B60F2" w:rsidP="002B60F2">
            <w:pPr>
              <w:jc w:val="center"/>
            </w:pPr>
            <w:r>
              <w:t>5.</w:t>
            </w:r>
            <w:r w:rsidR="007022C5">
              <w:t>91</w:t>
            </w:r>
            <w:r w:rsidR="00C321DB">
              <w:t xml:space="preserve"> ± 4.34</w:t>
            </w:r>
            <w:r>
              <w:t xml:space="preserve"> × 10</w:t>
            </w:r>
            <w:r w:rsidRPr="0083284B">
              <w:rPr>
                <w:vertAlign w:val="superscript"/>
              </w:rPr>
              <w:t>-</w:t>
            </w:r>
            <w:r>
              <w:rPr>
                <w:vertAlign w:val="superscript"/>
              </w:rPr>
              <w:t>10</w:t>
            </w:r>
          </w:p>
        </w:tc>
        <w:tc>
          <w:tcPr>
            <w:tcW w:w="1710" w:type="dxa"/>
            <w:tcBorders>
              <w:top w:val="single" w:sz="4" w:space="0" w:color="auto"/>
            </w:tcBorders>
          </w:tcPr>
          <w:p w14:paraId="733FCD8D" w14:textId="49F7B99A" w:rsidR="002B60F2" w:rsidRDefault="002B60F2" w:rsidP="002B60F2">
            <w:pPr>
              <w:jc w:val="center"/>
            </w:pPr>
            <w:r>
              <w:t>3.3 × 10</w:t>
            </w:r>
            <w:r w:rsidRPr="0083284B">
              <w:rPr>
                <w:vertAlign w:val="superscript"/>
              </w:rPr>
              <w:t>-</w:t>
            </w:r>
            <w:r>
              <w:rPr>
                <w:vertAlign w:val="superscript"/>
              </w:rPr>
              <w:t>3</w:t>
            </w:r>
          </w:p>
        </w:tc>
      </w:tr>
      <w:tr w:rsidR="002B60F2" w14:paraId="08955EAC" w14:textId="77777777" w:rsidTr="002B60F2">
        <w:trPr>
          <w:trHeight w:val="306"/>
          <w:jc w:val="center"/>
        </w:trPr>
        <w:tc>
          <w:tcPr>
            <w:tcW w:w="1890" w:type="dxa"/>
          </w:tcPr>
          <w:p w14:paraId="57344D17" w14:textId="7400D8D4" w:rsidR="002B60F2" w:rsidRDefault="002B60F2" w:rsidP="002B60F2">
            <w:pPr>
              <w:jc w:val="center"/>
            </w:pPr>
            <w:r>
              <w:t>30</w:t>
            </w:r>
          </w:p>
        </w:tc>
        <w:tc>
          <w:tcPr>
            <w:tcW w:w="2520" w:type="dxa"/>
          </w:tcPr>
          <w:p w14:paraId="0C7E4546" w14:textId="0267260F" w:rsidR="002B60F2" w:rsidRDefault="00C321DB" w:rsidP="002B60F2">
            <w:pPr>
              <w:jc w:val="center"/>
            </w:pPr>
            <w:r>
              <w:t>1.21 ± 0.84</w:t>
            </w:r>
            <w:r w:rsidR="002B60F2">
              <w:t xml:space="preserve"> × 10</w:t>
            </w:r>
            <w:r w:rsidR="002B60F2" w:rsidRPr="0083284B">
              <w:rPr>
                <w:vertAlign w:val="superscript"/>
              </w:rPr>
              <w:t>-7</w:t>
            </w:r>
          </w:p>
        </w:tc>
        <w:tc>
          <w:tcPr>
            <w:tcW w:w="2250" w:type="dxa"/>
          </w:tcPr>
          <w:p w14:paraId="1E35F5C8" w14:textId="1868883D" w:rsidR="002B60F2" w:rsidRDefault="002B60F2" w:rsidP="002B60F2">
            <w:pPr>
              <w:jc w:val="center"/>
            </w:pPr>
            <w:r>
              <w:t>5.</w:t>
            </w:r>
            <w:r w:rsidR="007022C5">
              <w:t>22</w:t>
            </w:r>
            <w:r w:rsidR="00C321DB">
              <w:t xml:space="preserve"> ± 1.59</w:t>
            </w:r>
            <w:r>
              <w:t xml:space="preserve"> × 10</w:t>
            </w:r>
            <w:r w:rsidRPr="0083284B">
              <w:rPr>
                <w:vertAlign w:val="superscript"/>
              </w:rPr>
              <w:t>-</w:t>
            </w:r>
            <w:r>
              <w:rPr>
                <w:vertAlign w:val="superscript"/>
              </w:rPr>
              <w:t>10</w:t>
            </w:r>
          </w:p>
        </w:tc>
        <w:tc>
          <w:tcPr>
            <w:tcW w:w="1710" w:type="dxa"/>
          </w:tcPr>
          <w:p w14:paraId="1722C1E4" w14:textId="60CA5772" w:rsidR="002B60F2" w:rsidRDefault="002B60F2" w:rsidP="002B60F2">
            <w:pPr>
              <w:jc w:val="center"/>
            </w:pPr>
            <w:r>
              <w:t>4.</w:t>
            </w:r>
            <w:r w:rsidR="007022C5">
              <w:t>3</w:t>
            </w:r>
            <w:r>
              <w:t xml:space="preserve"> × 10</w:t>
            </w:r>
            <w:r w:rsidRPr="0083284B">
              <w:rPr>
                <w:vertAlign w:val="superscript"/>
              </w:rPr>
              <w:t>-</w:t>
            </w:r>
            <w:r>
              <w:rPr>
                <w:vertAlign w:val="superscript"/>
              </w:rPr>
              <w:t>3</w:t>
            </w:r>
          </w:p>
        </w:tc>
      </w:tr>
      <w:tr w:rsidR="002B60F2" w14:paraId="4C0FFD90" w14:textId="77777777" w:rsidTr="002B60F2">
        <w:trPr>
          <w:trHeight w:val="306"/>
          <w:jc w:val="center"/>
        </w:trPr>
        <w:tc>
          <w:tcPr>
            <w:tcW w:w="1890" w:type="dxa"/>
          </w:tcPr>
          <w:p w14:paraId="655D9A90" w14:textId="40A34725" w:rsidR="002B60F2" w:rsidRDefault="002B60F2" w:rsidP="002B60F2">
            <w:pPr>
              <w:jc w:val="center"/>
            </w:pPr>
            <w:r>
              <w:t>60</w:t>
            </w:r>
          </w:p>
        </w:tc>
        <w:tc>
          <w:tcPr>
            <w:tcW w:w="2520" w:type="dxa"/>
          </w:tcPr>
          <w:p w14:paraId="52FF7B5A" w14:textId="3F9F38E0" w:rsidR="002B60F2" w:rsidRDefault="00C321DB" w:rsidP="002B60F2">
            <w:pPr>
              <w:jc w:val="center"/>
            </w:pPr>
            <w:r>
              <w:t>1.15 ± 0.40</w:t>
            </w:r>
            <w:r w:rsidR="002B60F2">
              <w:t xml:space="preserve"> × 10</w:t>
            </w:r>
            <w:r w:rsidR="002B60F2" w:rsidRPr="0083284B">
              <w:rPr>
                <w:vertAlign w:val="superscript"/>
              </w:rPr>
              <w:t>-</w:t>
            </w:r>
            <w:r w:rsidR="002B60F2">
              <w:rPr>
                <w:vertAlign w:val="superscript"/>
              </w:rPr>
              <w:t>8</w:t>
            </w:r>
          </w:p>
        </w:tc>
        <w:tc>
          <w:tcPr>
            <w:tcW w:w="2250" w:type="dxa"/>
          </w:tcPr>
          <w:p w14:paraId="39A34DF7" w14:textId="00E9E739" w:rsidR="002B60F2" w:rsidRDefault="002B60F2" w:rsidP="002B60F2">
            <w:pPr>
              <w:jc w:val="center"/>
            </w:pPr>
            <w:r>
              <w:t>3.8</w:t>
            </w:r>
            <w:r w:rsidR="007022C5">
              <w:t>8</w:t>
            </w:r>
            <w:r w:rsidR="00C321DB">
              <w:t xml:space="preserve"> ± 2.25</w:t>
            </w:r>
            <w:r>
              <w:t xml:space="preserve"> × 10</w:t>
            </w:r>
            <w:r w:rsidRPr="0083284B">
              <w:rPr>
                <w:vertAlign w:val="superscript"/>
              </w:rPr>
              <w:t>-</w:t>
            </w:r>
            <w:r>
              <w:rPr>
                <w:vertAlign w:val="superscript"/>
              </w:rPr>
              <w:t>9</w:t>
            </w:r>
          </w:p>
        </w:tc>
        <w:tc>
          <w:tcPr>
            <w:tcW w:w="1710" w:type="dxa"/>
          </w:tcPr>
          <w:p w14:paraId="48F2E27C" w14:textId="4F14153A" w:rsidR="002B60F2" w:rsidRDefault="002B60F2" w:rsidP="002B60F2">
            <w:pPr>
              <w:jc w:val="center"/>
            </w:pPr>
            <w:r>
              <w:t>3.4 × 10</w:t>
            </w:r>
            <w:r w:rsidRPr="0083284B">
              <w:rPr>
                <w:vertAlign w:val="superscript"/>
              </w:rPr>
              <w:t>-</w:t>
            </w:r>
            <w:r>
              <w:rPr>
                <w:vertAlign w:val="superscript"/>
              </w:rPr>
              <w:t>1</w:t>
            </w:r>
          </w:p>
        </w:tc>
      </w:tr>
      <w:tr w:rsidR="002B60F2" w14:paraId="15BD3C77" w14:textId="77777777" w:rsidTr="002B60F2">
        <w:trPr>
          <w:trHeight w:val="306"/>
          <w:jc w:val="center"/>
        </w:trPr>
        <w:tc>
          <w:tcPr>
            <w:tcW w:w="1890" w:type="dxa"/>
          </w:tcPr>
          <w:p w14:paraId="1C7F604C" w14:textId="20156C03" w:rsidR="002B60F2" w:rsidRDefault="002B60F2" w:rsidP="002B60F2">
            <w:pPr>
              <w:jc w:val="center"/>
            </w:pPr>
            <w:r>
              <w:t>90</w:t>
            </w:r>
          </w:p>
        </w:tc>
        <w:tc>
          <w:tcPr>
            <w:tcW w:w="2520" w:type="dxa"/>
          </w:tcPr>
          <w:p w14:paraId="5D9DF510" w14:textId="3EA8FA85" w:rsidR="002B60F2" w:rsidRDefault="002B60F2" w:rsidP="002B60F2">
            <w:pPr>
              <w:jc w:val="center"/>
            </w:pPr>
            <w:r>
              <w:t>2.52 ± 0.13 × 10</w:t>
            </w:r>
            <w:r w:rsidRPr="0083284B">
              <w:rPr>
                <w:vertAlign w:val="superscript"/>
              </w:rPr>
              <w:t>-</w:t>
            </w:r>
            <w:r>
              <w:rPr>
                <w:vertAlign w:val="superscript"/>
              </w:rPr>
              <w:t>9</w:t>
            </w:r>
          </w:p>
        </w:tc>
        <w:tc>
          <w:tcPr>
            <w:tcW w:w="2250" w:type="dxa"/>
          </w:tcPr>
          <w:p w14:paraId="6961C98E" w14:textId="3A9D5C92" w:rsidR="002B60F2" w:rsidRDefault="002B60F2" w:rsidP="002B60F2">
            <w:pPr>
              <w:jc w:val="center"/>
            </w:pPr>
            <w:r>
              <w:t>2.</w:t>
            </w:r>
            <w:r w:rsidR="007022C5">
              <w:t>09</w:t>
            </w:r>
            <w:r w:rsidR="00C321DB">
              <w:t xml:space="preserve"> ± 1.46</w:t>
            </w:r>
            <w:r>
              <w:t xml:space="preserve"> × 10</w:t>
            </w:r>
            <w:r w:rsidRPr="0083284B">
              <w:rPr>
                <w:vertAlign w:val="superscript"/>
              </w:rPr>
              <w:t>-</w:t>
            </w:r>
            <w:r>
              <w:rPr>
                <w:vertAlign w:val="superscript"/>
              </w:rPr>
              <w:t>8</w:t>
            </w:r>
          </w:p>
        </w:tc>
        <w:tc>
          <w:tcPr>
            <w:tcW w:w="1710" w:type="dxa"/>
          </w:tcPr>
          <w:p w14:paraId="677E2AB2" w14:textId="174BD6E4" w:rsidR="002B60F2" w:rsidRDefault="002B60F2" w:rsidP="002B60F2">
            <w:pPr>
              <w:jc w:val="center"/>
            </w:pPr>
            <w:r>
              <w:t>8.</w:t>
            </w:r>
            <w:r w:rsidR="007022C5">
              <w:t>3</w:t>
            </w:r>
            <w:r>
              <w:t xml:space="preserve"> × 10</w:t>
            </w:r>
            <w:r>
              <w:rPr>
                <w:vertAlign w:val="superscript"/>
              </w:rPr>
              <w:t>0</w:t>
            </w:r>
          </w:p>
        </w:tc>
      </w:tr>
      <w:tr w:rsidR="002B60F2" w14:paraId="79DE7B69" w14:textId="77777777" w:rsidTr="002B60F2">
        <w:trPr>
          <w:trHeight w:val="306"/>
          <w:jc w:val="center"/>
        </w:trPr>
        <w:tc>
          <w:tcPr>
            <w:tcW w:w="1890" w:type="dxa"/>
            <w:tcBorders>
              <w:bottom w:val="single" w:sz="4" w:space="0" w:color="auto"/>
            </w:tcBorders>
          </w:tcPr>
          <w:p w14:paraId="17C54D84" w14:textId="50431F92" w:rsidR="002B60F2" w:rsidRDefault="002B60F2" w:rsidP="002B60F2">
            <w:pPr>
              <w:jc w:val="center"/>
            </w:pPr>
            <w:r>
              <w:t>120</w:t>
            </w:r>
          </w:p>
        </w:tc>
        <w:tc>
          <w:tcPr>
            <w:tcW w:w="2520" w:type="dxa"/>
            <w:tcBorders>
              <w:bottom w:val="single" w:sz="4" w:space="0" w:color="auto"/>
            </w:tcBorders>
          </w:tcPr>
          <w:p w14:paraId="073B81D8" w14:textId="20F26915" w:rsidR="002B60F2" w:rsidRDefault="00C321DB" w:rsidP="002B60F2">
            <w:pPr>
              <w:jc w:val="center"/>
            </w:pPr>
            <w:r>
              <w:t>2.10 ± 0.59</w:t>
            </w:r>
            <w:r w:rsidR="002B60F2">
              <w:t xml:space="preserve"> × 10</w:t>
            </w:r>
            <w:r w:rsidR="002B60F2" w:rsidRPr="0083284B">
              <w:rPr>
                <w:vertAlign w:val="superscript"/>
              </w:rPr>
              <w:t>-</w:t>
            </w:r>
            <w:r w:rsidR="002B60F2">
              <w:rPr>
                <w:vertAlign w:val="superscript"/>
              </w:rPr>
              <w:t>9</w:t>
            </w:r>
          </w:p>
        </w:tc>
        <w:tc>
          <w:tcPr>
            <w:tcW w:w="2250" w:type="dxa"/>
            <w:tcBorders>
              <w:bottom w:val="single" w:sz="4" w:space="0" w:color="auto"/>
            </w:tcBorders>
          </w:tcPr>
          <w:p w14:paraId="5A52860B" w14:textId="5BCAA3C4" w:rsidR="002B60F2" w:rsidRDefault="002B60F2" w:rsidP="002B60F2">
            <w:pPr>
              <w:jc w:val="center"/>
            </w:pPr>
            <w:r>
              <w:t>1.0</w:t>
            </w:r>
            <w:r w:rsidR="007022C5">
              <w:t>3</w:t>
            </w:r>
            <w:r w:rsidR="00C321DB">
              <w:t xml:space="preserve"> ± 0.53</w:t>
            </w:r>
            <w:r>
              <w:t xml:space="preserve"> × 10</w:t>
            </w:r>
            <w:r w:rsidRPr="0083284B">
              <w:rPr>
                <w:vertAlign w:val="superscript"/>
              </w:rPr>
              <w:t>-</w:t>
            </w:r>
            <w:r>
              <w:rPr>
                <w:vertAlign w:val="superscript"/>
              </w:rPr>
              <w:t>7</w:t>
            </w:r>
          </w:p>
        </w:tc>
        <w:tc>
          <w:tcPr>
            <w:tcW w:w="1710" w:type="dxa"/>
            <w:tcBorders>
              <w:bottom w:val="single" w:sz="4" w:space="0" w:color="auto"/>
            </w:tcBorders>
          </w:tcPr>
          <w:p w14:paraId="2AED358E" w14:textId="6FA41E5B" w:rsidR="002B60F2" w:rsidRDefault="007022C5" w:rsidP="002B60F2">
            <w:pPr>
              <w:jc w:val="center"/>
            </w:pPr>
            <w:r>
              <w:t>4.9</w:t>
            </w:r>
            <w:r w:rsidR="002B60F2">
              <w:t xml:space="preserve"> × 10</w:t>
            </w:r>
            <w:r w:rsidR="002B60F2">
              <w:rPr>
                <w:vertAlign w:val="superscript"/>
              </w:rPr>
              <w:t>1</w:t>
            </w:r>
          </w:p>
        </w:tc>
      </w:tr>
    </w:tbl>
    <w:p w14:paraId="08F0323C" w14:textId="4D31521C" w:rsidR="00217694" w:rsidRPr="00217694" w:rsidRDefault="00217694" w:rsidP="006B0EC3"/>
    <w:p w14:paraId="4E868ADF" w14:textId="0AEC40A6" w:rsidR="00381C14" w:rsidRDefault="00463997" w:rsidP="009C19A2">
      <w:pPr>
        <w:pStyle w:val="Heading1"/>
      </w:pPr>
      <w:r>
        <w:t>Supporting Electrochemical Measurements</w:t>
      </w:r>
      <w:bookmarkEnd w:id="9"/>
    </w:p>
    <w:p w14:paraId="2478D97A" w14:textId="3C47A7E5" w:rsidR="00DC0983" w:rsidRDefault="00DC0983" w:rsidP="00DC0983">
      <w:pPr>
        <w:jc w:val="center"/>
      </w:pPr>
      <w:r>
        <w:rPr>
          <w:noProof/>
        </w:rPr>
        <w:drawing>
          <wp:inline distT="0" distB="0" distL="0" distR="0" wp14:anchorId="2400BF7B" wp14:editId="4BBE8981">
            <wp:extent cx="5276850" cy="2447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76850" cy="2447925"/>
                    </a:xfrm>
                    <a:prstGeom prst="rect">
                      <a:avLst/>
                    </a:prstGeom>
                  </pic:spPr>
                </pic:pic>
              </a:graphicData>
            </a:graphic>
          </wp:inline>
        </w:drawing>
      </w:r>
    </w:p>
    <w:p w14:paraId="53292E30" w14:textId="30B4EA4F" w:rsidR="00DC0983" w:rsidRPr="00DC0983" w:rsidRDefault="00DC0983" w:rsidP="00DC0983">
      <w:pPr>
        <w:spacing w:line="240" w:lineRule="auto"/>
      </w:pPr>
      <w:r>
        <w:rPr>
          <w:b/>
          <w:bCs/>
        </w:rPr>
        <w:t>Figure S11</w:t>
      </w:r>
      <w:r w:rsidRPr="00BB30E5">
        <w:rPr>
          <w:b/>
          <w:bCs/>
        </w:rPr>
        <w:t xml:space="preserve">. </w:t>
      </w:r>
      <w:r w:rsidRPr="00BB30E5">
        <w:t>CV curves of SiO</w:t>
      </w:r>
      <w:r w:rsidRPr="00BB30E5">
        <w:rPr>
          <w:vertAlign w:val="subscript"/>
        </w:rPr>
        <w:t>x</w:t>
      </w:r>
      <w:r w:rsidRPr="00BB30E5">
        <w:t>C</w:t>
      </w:r>
      <w:r w:rsidRPr="00BB30E5">
        <w:rPr>
          <w:vertAlign w:val="subscript"/>
        </w:rPr>
        <w:t>y</w:t>
      </w:r>
      <w:r w:rsidRPr="00BB30E5">
        <w:t>|Pt electrodes of varying UV-ozone cure times taken in 0.5 M sulfuric acid for a.) the first cycle and b.) 10th cycles recorded at 100 mV s</w:t>
      </w:r>
      <w:r w:rsidRPr="00BB30E5">
        <w:rPr>
          <w:vertAlign w:val="superscript"/>
        </w:rPr>
        <w:t>-1</w:t>
      </w:r>
      <w:r w:rsidR="00F74B4B">
        <w:t xml:space="preserve"> scan rate.</w:t>
      </w:r>
      <w:r w:rsidRPr="00BB30E5">
        <w:t xml:space="preserve"> The bare Pt sample did not undergo any UV-ozone treatment.</w:t>
      </w:r>
    </w:p>
    <w:p w14:paraId="0DACE6BF" w14:textId="77777777" w:rsidR="00215450" w:rsidRPr="00215450" w:rsidRDefault="00215450" w:rsidP="00215450">
      <w:pPr>
        <w:pStyle w:val="ListParagraph"/>
        <w:keepNext/>
        <w:keepLines/>
        <w:numPr>
          <w:ilvl w:val="0"/>
          <w:numId w:val="20"/>
        </w:numPr>
        <w:contextualSpacing w:val="0"/>
        <w:outlineLvl w:val="1"/>
        <w:rPr>
          <w:rFonts w:eastAsiaTheme="majorEastAsia" w:cstheme="majorBidi"/>
          <w:b/>
          <w:vanish/>
          <w:color w:val="000000" w:themeColor="text1"/>
          <w:szCs w:val="26"/>
        </w:rPr>
      </w:pPr>
    </w:p>
    <w:p w14:paraId="18CB85DF" w14:textId="77777777" w:rsidR="00215450" w:rsidRPr="00215450" w:rsidRDefault="00215450" w:rsidP="00215450">
      <w:pPr>
        <w:pStyle w:val="ListParagraph"/>
        <w:keepNext/>
        <w:keepLines/>
        <w:numPr>
          <w:ilvl w:val="0"/>
          <w:numId w:val="20"/>
        </w:numPr>
        <w:contextualSpacing w:val="0"/>
        <w:outlineLvl w:val="1"/>
        <w:rPr>
          <w:rFonts w:eastAsiaTheme="majorEastAsia" w:cstheme="majorBidi"/>
          <w:b/>
          <w:vanish/>
          <w:color w:val="000000" w:themeColor="text1"/>
          <w:szCs w:val="26"/>
        </w:rPr>
      </w:pPr>
    </w:p>
    <w:p w14:paraId="15594D1D" w14:textId="7ADF9142" w:rsidR="009C19A2" w:rsidRPr="0073171D" w:rsidRDefault="009C19A2" w:rsidP="001269E0">
      <w:pPr>
        <w:pStyle w:val="ListParagraph"/>
        <w:keepNext/>
        <w:keepLines/>
        <w:spacing w:line="240" w:lineRule="auto"/>
        <w:ind w:left="360"/>
        <w:contextualSpacing w:val="0"/>
        <w:outlineLvl w:val="1"/>
      </w:pPr>
    </w:p>
    <w:p w14:paraId="69E2C70B" w14:textId="5E95FE31" w:rsidR="0073171D" w:rsidRDefault="0073171D" w:rsidP="00B34E26">
      <w:pPr>
        <w:rPr>
          <w:b/>
        </w:rPr>
      </w:pPr>
    </w:p>
    <w:bookmarkEnd w:id="10"/>
    <w:bookmarkEnd w:id="11"/>
    <w:bookmarkEnd w:id="12"/>
    <w:p w14:paraId="0DB47E84" w14:textId="19233355" w:rsidR="00062AC4" w:rsidRDefault="00AF6688" w:rsidP="00766B17">
      <w:pPr>
        <w:spacing w:line="240" w:lineRule="auto"/>
        <w:jc w:val="center"/>
      </w:pPr>
      <w:r>
        <w:rPr>
          <w:noProof/>
        </w:rPr>
        <w:lastRenderedPageBreak/>
        <w:drawing>
          <wp:inline distT="0" distB="0" distL="0" distR="0" wp14:anchorId="7674F960" wp14:editId="008FCC3E">
            <wp:extent cx="3629025" cy="29622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29025" cy="2962275"/>
                    </a:xfrm>
                    <a:prstGeom prst="rect">
                      <a:avLst/>
                    </a:prstGeom>
                  </pic:spPr>
                </pic:pic>
              </a:graphicData>
            </a:graphic>
          </wp:inline>
        </w:drawing>
      </w:r>
    </w:p>
    <w:p w14:paraId="4BA7C9C7" w14:textId="2A502B51" w:rsidR="006B3FCA" w:rsidRDefault="00CB471C" w:rsidP="001269E0">
      <w:pPr>
        <w:spacing w:line="240" w:lineRule="auto"/>
        <w:jc w:val="both"/>
      </w:pPr>
      <w:r>
        <w:rPr>
          <w:b/>
        </w:rPr>
        <w:t>Figure S12</w:t>
      </w:r>
      <w:r w:rsidR="00F93ABC" w:rsidRPr="00C861F9">
        <w:rPr>
          <w:b/>
        </w:rPr>
        <w:t>.</w:t>
      </w:r>
      <w:r w:rsidR="00C861F9">
        <w:t xml:space="preserve"> </w:t>
      </w:r>
      <w:r w:rsidR="009C19A2">
        <w:t>LSVs taken at 10 mV s</w:t>
      </w:r>
      <w:r w:rsidR="009C19A2" w:rsidRPr="009C19A2">
        <w:rPr>
          <w:vertAlign w:val="superscript"/>
        </w:rPr>
        <w:t>-1</w:t>
      </w:r>
      <w:r w:rsidR="009C19A2">
        <w:t xml:space="preserve"> in 5 </w:t>
      </w:r>
      <w:r w:rsidR="0053710A">
        <w:t>m</w:t>
      </w:r>
      <w:r w:rsidR="003164CC">
        <w:t>M</w:t>
      </w:r>
      <w:r w:rsidR="009C19A2">
        <w:t xml:space="preserve"> </w:t>
      </w:r>
      <w:r w:rsidR="009C19A2">
        <w:rPr>
          <w:rFonts w:eastAsia="Times New Roman"/>
          <w:color w:val="000000"/>
        </w:rPr>
        <w:t>H</w:t>
      </w:r>
      <w:r w:rsidR="009C19A2">
        <w:rPr>
          <w:rFonts w:eastAsia="Times New Roman"/>
          <w:color w:val="000000"/>
          <w:vertAlign w:val="subscript"/>
        </w:rPr>
        <w:t>2</w:t>
      </w:r>
      <w:r w:rsidR="009C19A2">
        <w:rPr>
          <w:rFonts w:eastAsia="Times New Roman"/>
          <w:color w:val="000000"/>
        </w:rPr>
        <w:t>SO</w:t>
      </w:r>
      <w:r w:rsidR="009C19A2">
        <w:rPr>
          <w:rFonts w:eastAsia="Times New Roman"/>
          <w:color w:val="000000"/>
          <w:vertAlign w:val="subscript"/>
        </w:rPr>
        <w:t>4</w:t>
      </w:r>
      <w:r w:rsidR="009C19A2">
        <w:t xml:space="preserve">+ 495 </w:t>
      </w:r>
      <w:r w:rsidR="0053710A">
        <w:t>m</w:t>
      </w:r>
      <w:r w:rsidR="003164CC">
        <w:t>M</w:t>
      </w:r>
      <w:r w:rsidR="009C19A2">
        <w:t xml:space="preserve"> Na</w:t>
      </w:r>
      <w:r w:rsidR="009C19A2">
        <w:rPr>
          <w:vertAlign w:val="subscript"/>
        </w:rPr>
        <w:t>2</w:t>
      </w:r>
      <w:r w:rsidR="009C19A2">
        <w:t>SO</w:t>
      </w:r>
      <w:r w:rsidR="009C19A2">
        <w:rPr>
          <w:vertAlign w:val="subscript"/>
        </w:rPr>
        <w:t xml:space="preserve">4 </w:t>
      </w:r>
      <w:r w:rsidR="009C19A2">
        <w:t>electrolyte stirred at 200 rpm, showing the m</w:t>
      </w:r>
      <w:r w:rsidR="00C861F9">
        <w:t xml:space="preserve">ass transport limiting currents for </w:t>
      </w:r>
      <w:r w:rsidR="009C19A2">
        <w:t xml:space="preserve">Hydrogen evolution on </w:t>
      </w:r>
      <w:r w:rsidR="00C861F9">
        <w:t>SiO</w:t>
      </w:r>
      <w:r w:rsidR="00C861F9">
        <w:rPr>
          <w:vertAlign w:val="subscript"/>
        </w:rPr>
        <w:softHyphen/>
        <w:t>x</w:t>
      </w:r>
      <w:r w:rsidR="00C861F9">
        <w:t>C</w:t>
      </w:r>
      <w:r w:rsidR="00C861F9" w:rsidRPr="0035534F">
        <w:rPr>
          <w:vertAlign w:val="subscript"/>
        </w:rPr>
        <w:t>y</w:t>
      </w:r>
      <w:r w:rsidR="00C861F9">
        <w:t xml:space="preserve">|Pt </w:t>
      </w:r>
      <w:r w:rsidR="009C19A2">
        <w:t>electrodes of varying treatment times</w:t>
      </w:r>
      <w:r w:rsidR="00C861F9">
        <w:t xml:space="preserve">, </w:t>
      </w:r>
      <w:r w:rsidR="009C19A2">
        <w:t xml:space="preserve">specifically </w:t>
      </w:r>
      <w:r w:rsidR="00C861F9">
        <w:t xml:space="preserve">highlighting performance at </w:t>
      </w:r>
      <w:r w:rsidR="00EB24AB">
        <w:t xml:space="preserve">low </w:t>
      </w:r>
      <w:r w:rsidR="00C861F9">
        <w:t>current densities.</w:t>
      </w:r>
      <w:r w:rsidR="00F377A4">
        <w:t xml:space="preserve"> The dotted line represents a bare Pt electrode in the absence of protons (in pH 7 500 </w:t>
      </w:r>
      <w:r w:rsidR="0053710A">
        <w:t>m</w:t>
      </w:r>
      <w:r w:rsidR="003164CC">
        <w:t>M</w:t>
      </w:r>
      <w:r w:rsidR="00F377A4">
        <w:t xml:space="preserve"> Na</w:t>
      </w:r>
      <w:r w:rsidR="00F377A4" w:rsidRPr="00F377A4">
        <w:rPr>
          <w:vertAlign w:val="subscript"/>
        </w:rPr>
        <w:t>2</w:t>
      </w:r>
      <w:r w:rsidR="00F377A4">
        <w:t>SO</w:t>
      </w:r>
      <w:r w:rsidR="00F377A4" w:rsidRPr="00F377A4">
        <w:rPr>
          <w:vertAlign w:val="subscript"/>
        </w:rPr>
        <w:t>4</w:t>
      </w:r>
      <w:r w:rsidR="00F377A4">
        <w:t>).</w:t>
      </w:r>
    </w:p>
    <w:p w14:paraId="51FFA950" w14:textId="77777777" w:rsidR="00CB471C" w:rsidRDefault="00CB471C" w:rsidP="00CB471C">
      <w:pPr>
        <w:jc w:val="center"/>
        <w:rPr>
          <w:b/>
        </w:rPr>
      </w:pPr>
      <w:r>
        <w:rPr>
          <w:noProof/>
        </w:rPr>
        <w:drawing>
          <wp:inline distT="0" distB="0" distL="0" distR="0" wp14:anchorId="5BEFB949" wp14:editId="16A415C4">
            <wp:extent cx="55911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91175" cy="2667000"/>
                    </a:xfrm>
                    <a:prstGeom prst="rect">
                      <a:avLst/>
                    </a:prstGeom>
                  </pic:spPr>
                </pic:pic>
              </a:graphicData>
            </a:graphic>
          </wp:inline>
        </w:drawing>
      </w:r>
    </w:p>
    <w:p w14:paraId="580F3EF9" w14:textId="34568E94" w:rsidR="00CB471C" w:rsidRPr="0073171D" w:rsidRDefault="00CB471C" w:rsidP="00CB471C">
      <w:pPr>
        <w:spacing w:line="240" w:lineRule="auto"/>
        <w:jc w:val="both"/>
      </w:pPr>
      <w:r>
        <w:rPr>
          <w:b/>
        </w:rPr>
        <w:t xml:space="preserve">Figure S13. </w:t>
      </w:r>
      <w:r>
        <w:t>Chronoamperometry measurements showing steady state HER current at -0.1 V vs. RHE in 5 mM H</w:t>
      </w:r>
      <w:r>
        <w:rPr>
          <w:vertAlign w:val="subscript"/>
        </w:rPr>
        <w:t>2</w:t>
      </w:r>
      <w:r>
        <w:t>SO</w:t>
      </w:r>
      <w:r>
        <w:rPr>
          <w:vertAlign w:val="subscript"/>
        </w:rPr>
        <w:t>4</w:t>
      </w:r>
      <w:r>
        <w:t xml:space="preserve"> with 495 m</w:t>
      </w:r>
      <w:r w:rsidR="003164CC">
        <w:t>M</w:t>
      </w:r>
      <w:r>
        <w:t xml:space="preserve"> Na</w:t>
      </w:r>
      <w:r w:rsidRPr="00A20212">
        <w:rPr>
          <w:vertAlign w:val="subscript"/>
        </w:rPr>
        <w:t>2</w:t>
      </w:r>
      <w:r>
        <w:t>SO</w:t>
      </w:r>
      <w:r w:rsidRPr="00A20212">
        <w:rPr>
          <w:vertAlign w:val="subscript"/>
        </w:rPr>
        <w:t>4</w:t>
      </w:r>
      <w:r>
        <w:t xml:space="preserve"> supporting electrolyte under 200 rpm of stirring for samples of various curing time for a.) the first 2 minutes and b.) the full 10 minutes of measurement.</w:t>
      </w:r>
    </w:p>
    <w:p w14:paraId="18DBBF91" w14:textId="77777777" w:rsidR="00CB471C" w:rsidRDefault="00CB471C" w:rsidP="001269E0">
      <w:pPr>
        <w:spacing w:line="240" w:lineRule="auto"/>
        <w:jc w:val="both"/>
      </w:pPr>
    </w:p>
    <w:p w14:paraId="0AFCA689" w14:textId="77777777" w:rsidR="00766B17" w:rsidRDefault="00766B17" w:rsidP="00F377A4">
      <w:pPr>
        <w:spacing w:line="240" w:lineRule="auto"/>
      </w:pPr>
    </w:p>
    <w:p w14:paraId="240A7B9C" w14:textId="41B4FAE0" w:rsidR="00062AC4" w:rsidRDefault="00062AC4" w:rsidP="00062AC4">
      <w:pPr>
        <w:jc w:val="center"/>
      </w:pPr>
      <w:r>
        <w:rPr>
          <w:noProof/>
        </w:rPr>
        <w:lastRenderedPageBreak/>
        <w:drawing>
          <wp:inline distT="0" distB="0" distL="0" distR="0" wp14:anchorId="57092F5A" wp14:editId="166A7095">
            <wp:extent cx="3448050" cy="2809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48050" cy="2809875"/>
                    </a:xfrm>
                    <a:prstGeom prst="rect">
                      <a:avLst/>
                    </a:prstGeom>
                  </pic:spPr>
                </pic:pic>
              </a:graphicData>
            </a:graphic>
          </wp:inline>
        </w:drawing>
      </w:r>
    </w:p>
    <w:p w14:paraId="2A87BDE5" w14:textId="51073B5A" w:rsidR="006B3FCA" w:rsidRDefault="00CB471C" w:rsidP="001269E0">
      <w:pPr>
        <w:spacing w:line="276" w:lineRule="auto"/>
        <w:jc w:val="both"/>
      </w:pPr>
      <w:r>
        <w:rPr>
          <w:b/>
        </w:rPr>
        <w:t>Figure S14</w:t>
      </w:r>
      <w:r w:rsidR="006B3FCA" w:rsidRPr="00C861F9">
        <w:rPr>
          <w:b/>
        </w:rPr>
        <w:t>.</w:t>
      </w:r>
      <w:r w:rsidR="00C861F9">
        <w:t xml:space="preserve"> ORR LSVs taken at 10 mV s</w:t>
      </w:r>
      <w:r w:rsidR="00C861F9" w:rsidRPr="009C19A2">
        <w:rPr>
          <w:vertAlign w:val="superscript"/>
        </w:rPr>
        <w:t>-1</w:t>
      </w:r>
      <w:r w:rsidR="00C861F9">
        <w:t xml:space="preserve"> for the in O</w:t>
      </w:r>
      <w:r w:rsidR="00C861F9" w:rsidRPr="00C861F9">
        <w:rPr>
          <w:vertAlign w:val="subscript"/>
        </w:rPr>
        <w:t>2</w:t>
      </w:r>
      <w:r w:rsidR="00C861F9">
        <w:t xml:space="preserve">-sat. 0.1 </w:t>
      </w:r>
      <w:r w:rsidR="0053710A">
        <w:t>m</w:t>
      </w:r>
      <w:r w:rsidR="003164CC">
        <w:t>M</w:t>
      </w:r>
      <w:r w:rsidR="00C861F9">
        <w:t xml:space="preserve"> H</w:t>
      </w:r>
      <w:r w:rsidR="00C861F9" w:rsidRPr="00C861F9">
        <w:rPr>
          <w:vertAlign w:val="subscript"/>
        </w:rPr>
        <w:t>2</w:t>
      </w:r>
      <w:r w:rsidR="00C861F9">
        <w:t>SO</w:t>
      </w:r>
      <w:r w:rsidR="00C861F9" w:rsidRPr="00C861F9">
        <w:rPr>
          <w:vertAlign w:val="subscript"/>
        </w:rPr>
        <w:t>4</w:t>
      </w:r>
      <w:r w:rsidR="00C861F9">
        <w:t xml:space="preserve"> + 499.9 </w:t>
      </w:r>
      <w:r w:rsidR="0053710A">
        <w:t>m</w:t>
      </w:r>
      <w:r w:rsidR="003164CC">
        <w:t>M</w:t>
      </w:r>
      <w:r w:rsidR="00C861F9">
        <w:t xml:space="preserve"> Na</w:t>
      </w:r>
      <w:r w:rsidR="00C861F9" w:rsidRPr="00C861F9">
        <w:rPr>
          <w:vertAlign w:val="subscript"/>
        </w:rPr>
        <w:t>2</w:t>
      </w:r>
      <w:r w:rsidR="00C861F9">
        <w:t>SO</w:t>
      </w:r>
      <w:r w:rsidR="00C861F9" w:rsidRPr="00C861F9">
        <w:rPr>
          <w:vertAlign w:val="subscript"/>
        </w:rPr>
        <w:t>4</w:t>
      </w:r>
      <w:r w:rsidR="00C861F9">
        <w:t xml:space="preserve"> under 200 rpm of stirring for partially cured (t</w:t>
      </w:r>
      <w:r w:rsidR="00C861F9" w:rsidRPr="00C861F9">
        <w:rPr>
          <w:vertAlign w:val="subscript"/>
        </w:rPr>
        <w:t>cure</w:t>
      </w:r>
      <w:r w:rsidR="00C861F9">
        <w:t xml:space="preserve"> = 30 minutes) and fully cured (t</w:t>
      </w:r>
      <w:r w:rsidR="00C861F9" w:rsidRPr="00C861F9">
        <w:rPr>
          <w:vertAlign w:val="subscript"/>
        </w:rPr>
        <w:t>cure</w:t>
      </w:r>
      <w:r w:rsidR="00C861F9">
        <w:t xml:space="preserve"> = 120 minutes) SiO</w:t>
      </w:r>
      <w:r w:rsidR="00C861F9" w:rsidRPr="00C861F9">
        <w:rPr>
          <w:vertAlign w:val="subscript"/>
        </w:rPr>
        <w:t>x</w:t>
      </w:r>
      <w:r w:rsidR="00C861F9">
        <w:t>C</w:t>
      </w:r>
      <w:r w:rsidR="00C861F9" w:rsidRPr="00C861F9">
        <w:rPr>
          <w:vertAlign w:val="subscript"/>
        </w:rPr>
        <w:t>y</w:t>
      </w:r>
      <w:r w:rsidR="00C861F9">
        <w:t>|Pt electrodes.</w:t>
      </w:r>
      <w:r w:rsidR="00613C57">
        <w:t xml:space="preserve"> </w:t>
      </w:r>
    </w:p>
    <w:p w14:paraId="6D5AE6EE" w14:textId="67A59895" w:rsidR="009C19A2" w:rsidRDefault="00381C14" w:rsidP="001269E0">
      <w:pPr>
        <w:jc w:val="both"/>
      </w:pPr>
      <w:r>
        <w:br w:type="page"/>
      </w:r>
    </w:p>
    <w:p w14:paraId="56DB8D9B" w14:textId="09B2AADC" w:rsidR="009C19A2" w:rsidRPr="009C19A2" w:rsidRDefault="009C19A2" w:rsidP="009C19A2">
      <w:pPr>
        <w:rPr>
          <w:b/>
        </w:rPr>
      </w:pPr>
      <w:r w:rsidRPr="009C19A2">
        <w:rPr>
          <w:b/>
        </w:rPr>
        <w:lastRenderedPageBreak/>
        <w:t xml:space="preserve">5.1 Description </w:t>
      </w:r>
      <w:r w:rsidR="008834D6">
        <w:rPr>
          <w:b/>
        </w:rPr>
        <w:t xml:space="preserve">and Analysis </w:t>
      </w:r>
      <w:r w:rsidRPr="009C19A2">
        <w:rPr>
          <w:b/>
        </w:rPr>
        <w:t>of Proton Limited Oxygen Reduction Experiments</w:t>
      </w:r>
    </w:p>
    <w:p w14:paraId="44E02216" w14:textId="397C3206" w:rsidR="008834D6" w:rsidRDefault="005D6D71" w:rsidP="0047417A">
      <w:pPr>
        <w:spacing w:line="240" w:lineRule="auto"/>
        <w:ind w:firstLine="720"/>
        <w:jc w:val="both"/>
      </w:pPr>
      <w:r>
        <w:t>To further examine the relative differences in O</w:t>
      </w:r>
      <w:r w:rsidRPr="00A51FA8">
        <w:rPr>
          <w:vertAlign w:val="subscript"/>
        </w:rPr>
        <w:t>2</w:t>
      </w:r>
      <w:r>
        <w:t xml:space="preserve"> and H</w:t>
      </w:r>
      <w:r w:rsidRPr="00A51FA8">
        <w:rPr>
          <w:vertAlign w:val="superscript"/>
        </w:rPr>
        <w:t>+</w:t>
      </w:r>
      <w:r>
        <w:t xml:space="preserve"> transport between the partially and fully cured overlayers, oxygen reduction LSVs were performed in O</w:t>
      </w:r>
      <w:r w:rsidRPr="00A51FA8">
        <w:rPr>
          <w:vertAlign w:val="subscript"/>
        </w:rPr>
        <w:t>2</w:t>
      </w:r>
      <w:r>
        <w:t xml:space="preserve">-saturated 0.1 </w:t>
      </w:r>
      <w:r w:rsidR="0053710A">
        <w:t>m</w:t>
      </w:r>
      <w:r w:rsidR="003164CC">
        <w:t>M</w:t>
      </w:r>
      <w:r>
        <w:t xml:space="preserve"> H2SO4 + 499.9 Na2SO4 electrolyte</w:t>
      </w:r>
      <w:r w:rsidR="008834D6">
        <w:t>. This proton concentration was selected in order to induce a visible proton transport limited current by decreasing the diffusive flux across the diffusion boundary layer and the SiO</w:t>
      </w:r>
      <w:r w:rsidR="008834D6" w:rsidRPr="00011ADB">
        <w:rPr>
          <w:vertAlign w:val="subscript"/>
        </w:rPr>
        <w:t>x</w:t>
      </w:r>
      <w:r w:rsidR="008834D6">
        <w:t>C</w:t>
      </w:r>
      <w:r w:rsidR="008834D6" w:rsidRPr="00011ADB">
        <w:rPr>
          <w:vertAlign w:val="subscript"/>
        </w:rPr>
        <w:t>y</w:t>
      </w:r>
      <w:r w:rsidR="008834D6">
        <w:t xml:space="preserve"> overlayer. As the overlayers that are fully cured display very different permeabilities for both oxygen and protons (</w:t>
      </w:r>
      <w:r w:rsidR="001269E0">
        <w:rPr>
          <w:b/>
        </w:rPr>
        <w:t>Figure</w:t>
      </w:r>
      <w:r w:rsidR="00D95A95">
        <w:rPr>
          <w:b/>
        </w:rPr>
        <w:t>s S12 &amp;</w:t>
      </w:r>
      <w:r w:rsidR="001269E0">
        <w:rPr>
          <w:b/>
        </w:rPr>
        <w:t xml:space="preserve"> S13</w:t>
      </w:r>
      <w:r w:rsidR="008834D6">
        <w:t>) compared to their partially cured counterparts, proton-limited ORR was characterized</w:t>
      </w:r>
      <w:r w:rsidR="00217EC4">
        <w:t xml:space="preserve"> for a partially cured electrode (t</w:t>
      </w:r>
      <w:r w:rsidR="00217EC4" w:rsidRPr="002F48E8">
        <w:rPr>
          <w:vertAlign w:val="subscript"/>
        </w:rPr>
        <w:t>cure</w:t>
      </w:r>
      <w:r w:rsidR="00217EC4">
        <w:t xml:space="preserve"> = 30 minutes) and a fully cured electrode (t</w:t>
      </w:r>
      <w:r w:rsidR="00217EC4" w:rsidRPr="002F48E8">
        <w:rPr>
          <w:vertAlign w:val="subscript"/>
        </w:rPr>
        <w:t>cure</w:t>
      </w:r>
      <w:r w:rsidR="00217EC4">
        <w:t xml:space="preserve"> = 120 minutes). </w:t>
      </w:r>
    </w:p>
    <w:p w14:paraId="018FBC8F" w14:textId="3436E898" w:rsidR="008834D6" w:rsidRDefault="00217EC4" w:rsidP="0047417A">
      <w:pPr>
        <w:spacing w:line="240" w:lineRule="auto"/>
        <w:ind w:firstLine="720"/>
        <w:jc w:val="both"/>
      </w:pPr>
      <w:r>
        <w:t>In weakly acidic electrolyte, two different limiting regions will emerge in the LSV for a bare Pt electrode where oxygen reduction is limited by the availability of two different co-reactants.</w:t>
      </w:r>
      <w:r w:rsidR="001B2323">
        <w:t xml:space="preserve"> The first region </w:t>
      </w:r>
      <w:r w:rsidR="008834D6">
        <w:t xml:space="preserve">occurs </w:t>
      </w:r>
      <w:r>
        <w:t xml:space="preserve">for potentials </w:t>
      </w:r>
      <w:r w:rsidR="008834D6">
        <w:t xml:space="preserve">more negative </w:t>
      </w:r>
      <w:r>
        <w:t xml:space="preserve">than 0.8 V vs. RHE where </w:t>
      </w:r>
      <w:r w:rsidR="00116DC0">
        <w:t xml:space="preserve">proton-facilitated ORR, shown in Equation 5.1, </w:t>
      </w:r>
      <w:r>
        <w:t>becomes limited by proton transport in the high pH electrolyte</w:t>
      </w:r>
      <w:r w:rsidR="00116DC0">
        <w:t>.</w:t>
      </w:r>
    </w:p>
    <w:p w14:paraId="46E9556A" w14:textId="77777777" w:rsidR="001B2323" w:rsidRDefault="001B2323" w:rsidP="0047417A">
      <w:pPr>
        <w:spacing w:line="240" w:lineRule="auto"/>
        <w:ind w:firstLine="720"/>
        <w:jc w:val="both"/>
      </w:pPr>
    </w:p>
    <w:p w14:paraId="450BA8AB" w14:textId="1F1FEE7A" w:rsidR="001B2323" w:rsidRPr="001B2323" w:rsidRDefault="001B2323" w:rsidP="0047417A">
      <w:pPr>
        <w:spacing w:line="240" w:lineRule="auto"/>
        <w:jc w:val="right"/>
        <w:divId w:val="193424299"/>
        <w:rPr>
          <w:rFonts w:ascii="Cambria Math" w:hAnsi="Cambria Math"/>
          <w:i/>
          <w:iCs/>
        </w:rPr>
      </w:pPr>
      <m:oMath>
        <m:r>
          <w:rPr>
            <w:rFonts w:ascii="Cambria Math" w:hAnsi="Cambria Math"/>
          </w:rPr>
          <m:t>4</m:t>
        </m:r>
        <m:sSup>
          <m:sSupPr>
            <m:ctrlPr>
              <w:rPr>
                <w:rFonts w:ascii="Cambria Math" w:hAnsi="Cambria Math"/>
                <w:i/>
                <w:iCs/>
              </w:rPr>
            </m:ctrlPr>
          </m:sSupPr>
          <m:e>
            <m:r>
              <w:rPr>
                <w:rFonts w:ascii="Cambria Math" w:hAnsi="Cambria Math"/>
              </w:rPr>
              <m:t>H</m:t>
            </m:r>
          </m:e>
          <m:sup>
            <m:r>
              <w:rPr>
                <w:rFonts w:ascii="Cambria Math" w:hAnsi="Cambria Math"/>
              </w:rPr>
              <m:t>+</m:t>
            </m:r>
          </m:sup>
        </m:sSup>
        <m:r>
          <w:rPr>
            <w:rFonts w:ascii="Cambria Math" w:hAnsi="Cambria Math"/>
          </w:rPr>
          <m:t>+4</m:t>
        </m:r>
        <m:sSup>
          <m:sSupPr>
            <m:ctrlPr>
              <w:rPr>
                <w:rFonts w:ascii="Cambria Math" w:hAnsi="Cambria Math"/>
                <w:i/>
                <w:iCs/>
              </w:rPr>
            </m:ctrlPr>
          </m:sSupPr>
          <m:e>
            <m:r>
              <w:rPr>
                <w:rFonts w:ascii="Cambria Math" w:hAnsi="Cambria Math"/>
              </w:rPr>
              <m:t>e</m:t>
            </m:r>
          </m:e>
          <m:sup>
            <m:r>
              <w:rPr>
                <w:rFonts w:ascii="Cambria Math" w:hAnsi="Cambria Math"/>
              </w:rPr>
              <m:t>-</m:t>
            </m:r>
          </m:sup>
        </m:sSup>
        <m:r>
          <w:rPr>
            <w:rFonts w:ascii="Cambria Math" w:hAnsi="Cambria Math"/>
          </w:rPr>
          <m:t>+</m:t>
        </m:r>
        <m:sSub>
          <m:sSubPr>
            <m:ctrlPr>
              <w:rPr>
                <w:rFonts w:ascii="Cambria Math" w:hAnsi="Cambria Math"/>
                <w:i/>
                <w:iCs/>
              </w:rPr>
            </m:ctrlPr>
          </m:sSubPr>
          <m:e>
            <m:r>
              <w:rPr>
                <w:rFonts w:ascii="Cambria Math" w:hAnsi="Cambria Math"/>
              </w:rPr>
              <m:t>O</m:t>
            </m:r>
          </m:e>
          <m:sub>
            <m:r>
              <w:rPr>
                <w:rFonts w:ascii="Cambria Math" w:hAnsi="Cambria Math"/>
              </w:rPr>
              <m:t>2</m:t>
            </m:r>
          </m:sub>
        </m:sSub>
        <m:r>
          <w:rPr>
            <w:rFonts w:ascii="Cambria Math" w:hAnsi="Cambria Math"/>
          </w:rPr>
          <m:t>↔</m:t>
        </m:r>
        <m:sSub>
          <m:sSubPr>
            <m:ctrlPr>
              <w:rPr>
                <w:rFonts w:ascii="Cambria Math" w:hAnsi="Cambria Math"/>
                <w:i/>
                <w:iCs/>
              </w:rPr>
            </m:ctrlPr>
          </m:sSubPr>
          <m:e>
            <m:r>
              <w:rPr>
                <w:rFonts w:ascii="Cambria Math" w:hAnsi="Cambria Math"/>
              </w:rPr>
              <m:t>2H</m:t>
            </m:r>
          </m:e>
          <m:sub>
            <m:r>
              <w:rPr>
                <w:rFonts w:ascii="Cambria Math" w:hAnsi="Cambria Math"/>
              </w:rPr>
              <m:t>2</m:t>
            </m:r>
          </m:sub>
        </m:sSub>
        <m:r>
          <w:rPr>
            <w:rFonts w:ascii="Cambria Math" w:hAnsi="Cambria Math"/>
          </w:rPr>
          <m:t>O</m:t>
        </m:r>
      </m:oMath>
      <w:r>
        <w:rPr>
          <w:rFonts w:ascii="Cambria Math" w:hAnsi="Cambria Math"/>
          <w:i/>
          <w:iCs/>
        </w:rPr>
        <w:t xml:space="preserve">           </w:t>
      </w:r>
      <w:r w:rsidRPr="004B1C91">
        <w:t>E</w:t>
      </w:r>
      <w:r w:rsidRPr="004B1C91">
        <w:rPr>
          <w:vertAlign w:val="superscript"/>
        </w:rPr>
        <w:t xml:space="preserve">o </w:t>
      </w:r>
      <w:r w:rsidR="00A070E9">
        <w:t>= 1.23</w:t>
      </w:r>
      <w:r w:rsidRPr="004B1C91">
        <w:t xml:space="preserve"> V vs. NHE</w:t>
      </w:r>
      <w:r>
        <w:t xml:space="preserve">              (5.1)</w:t>
      </w:r>
    </w:p>
    <w:p w14:paraId="11029508" w14:textId="77777777" w:rsidR="008834D6" w:rsidRDefault="008834D6" w:rsidP="0047417A">
      <w:pPr>
        <w:spacing w:line="240" w:lineRule="auto"/>
        <w:jc w:val="both"/>
      </w:pPr>
    </w:p>
    <w:p w14:paraId="1A4312FD" w14:textId="50E62F8A" w:rsidR="00217EC4" w:rsidRDefault="008834D6" w:rsidP="0047417A">
      <w:pPr>
        <w:spacing w:line="240" w:lineRule="auto"/>
        <w:jc w:val="both"/>
      </w:pPr>
      <w:r>
        <w:t xml:space="preserve">The second limiting current plateau can be observed </w:t>
      </w:r>
      <w:r w:rsidR="00217EC4">
        <w:t>for potentials less than 0.4 V vs. RHE</w:t>
      </w:r>
      <w:r>
        <w:t>, which is the standard reduction potential for water mediated ORR</w:t>
      </w:r>
      <w:r w:rsidR="00116DC0">
        <w:t xml:space="preserve"> (</w:t>
      </w:r>
      <w:r w:rsidR="00116DC0" w:rsidRPr="003164CC">
        <w:rPr>
          <w:bCs/>
        </w:rPr>
        <w:t>Equation 5.2</w:t>
      </w:r>
      <w:r w:rsidR="00116DC0">
        <w:t>).</w:t>
      </w:r>
      <w:r>
        <w:t>:</w:t>
      </w:r>
    </w:p>
    <w:p w14:paraId="69ADAD54" w14:textId="77777777" w:rsidR="0047417A" w:rsidRDefault="0047417A" w:rsidP="0047417A">
      <w:pPr>
        <w:spacing w:line="240" w:lineRule="auto"/>
        <w:jc w:val="both"/>
      </w:pPr>
    </w:p>
    <w:p w14:paraId="5853D987" w14:textId="5F82DEF3" w:rsidR="001B2323" w:rsidRPr="001B2323" w:rsidRDefault="001B2323" w:rsidP="0047417A">
      <w:pPr>
        <w:spacing w:line="240" w:lineRule="auto"/>
        <w:jc w:val="right"/>
        <w:rPr>
          <w:rFonts w:ascii="Cambria Math" w:hAnsi="Cambria Math"/>
          <w:i/>
          <w:iCs/>
        </w:rPr>
      </w:pPr>
      <m:oMath>
        <m:r>
          <w:rPr>
            <w:rFonts w:ascii="Cambria Math" w:hAnsi="Cambria Math"/>
          </w:rPr>
          <m:t>2</m:t>
        </m:r>
        <m:sSub>
          <m:sSubPr>
            <m:ctrlPr>
              <w:rPr>
                <w:rFonts w:ascii="Cambria Math" w:hAnsi="Cambria Math"/>
                <w:i/>
                <w:iCs/>
              </w:rPr>
            </m:ctrlPr>
          </m:sSubPr>
          <m:e>
            <m:r>
              <w:rPr>
                <w:rFonts w:ascii="Cambria Math" w:hAnsi="Cambria Math"/>
              </w:rPr>
              <m:t>H</m:t>
            </m:r>
          </m:e>
          <m:sub>
            <m:r>
              <w:rPr>
                <w:rFonts w:ascii="Cambria Math" w:hAnsi="Cambria Math"/>
              </w:rPr>
              <m:t>2</m:t>
            </m:r>
          </m:sub>
        </m:sSub>
        <m:r>
          <w:rPr>
            <w:rFonts w:ascii="Cambria Math" w:hAnsi="Cambria Math"/>
          </w:rPr>
          <m:t>O+4</m:t>
        </m:r>
        <m:sSup>
          <m:sSupPr>
            <m:ctrlPr>
              <w:rPr>
                <w:rFonts w:ascii="Cambria Math" w:hAnsi="Cambria Math"/>
                <w:i/>
                <w:iCs/>
              </w:rPr>
            </m:ctrlPr>
          </m:sSupPr>
          <m:e>
            <m:r>
              <w:rPr>
                <w:rFonts w:ascii="Cambria Math" w:hAnsi="Cambria Math"/>
              </w:rPr>
              <m:t>e</m:t>
            </m:r>
          </m:e>
          <m:sup>
            <m:r>
              <w:rPr>
                <w:rFonts w:ascii="Cambria Math" w:hAnsi="Cambria Math"/>
              </w:rPr>
              <m:t>-</m:t>
            </m:r>
          </m:sup>
        </m:sSup>
        <m:r>
          <w:rPr>
            <w:rFonts w:ascii="Cambria Math" w:hAnsi="Cambria Math"/>
          </w:rPr>
          <m:t>+</m:t>
        </m:r>
        <m:sSub>
          <m:sSubPr>
            <m:ctrlPr>
              <w:rPr>
                <w:rFonts w:ascii="Cambria Math" w:hAnsi="Cambria Math"/>
                <w:i/>
                <w:iCs/>
              </w:rPr>
            </m:ctrlPr>
          </m:sSubPr>
          <m:e>
            <m:r>
              <w:rPr>
                <w:rFonts w:ascii="Cambria Math" w:hAnsi="Cambria Math"/>
              </w:rPr>
              <m:t>O</m:t>
            </m:r>
          </m:e>
          <m:sub>
            <m:r>
              <w:rPr>
                <w:rFonts w:ascii="Cambria Math" w:hAnsi="Cambria Math"/>
              </w:rPr>
              <m:t>2</m:t>
            </m:r>
          </m:sub>
        </m:sSub>
        <m:r>
          <w:rPr>
            <w:rFonts w:ascii="Cambria Math" w:hAnsi="Cambria Math"/>
          </w:rPr>
          <m:t>→4O</m:t>
        </m:r>
        <m:sSup>
          <m:sSupPr>
            <m:ctrlPr>
              <w:rPr>
                <w:rFonts w:ascii="Cambria Math" w:hAnsi="Cambria Math"/>
                <w:i/>
                <w:iCs/>
              </w:rPr>
            </m:ctrlPr>
          </m:sSupPr>
          <m:e>
            <m:r>
              <w:rPr>
                <w:rFonts w:ascii="Cambria Math" w:hAnsi="Cambria Math"/>
              </w:rPr>
              <m:t>H</m:t>
            </m:r>
          </m:e>
          <m:sup>
            <m:r>
              <w:rPr>
                <w:rFonts w:ascii="Cambria Math" w:hAnsi="Cambria Math"/>
              </w:rPr>
              <m:t>-</m:t>
            </m:r>
          </m:sup>
        </m:sSup>
      </m:oMath>
      <w:r>
        <w:rPr>
          <w:iCs/>
        </w:rPr>
        <w:t xml:space="preserve">      </w:t>
      </w:r>
      <w:r w:rsidRPr="004B1C91">
        <w:t>E</w:t>
      </w:r>
      <w:r w:rsidRPr="004B1C91">
        <w:rPr>
          <w:vertAlign w:val="superscript"/>
        </w:rPr>
        <w:t xml:space="preserve">o </w:t>
      </w:r>
      <w:r w:rsidR="00A070E9">
        <w:t>= 0.40</w:t>
      </w:r>
      <w:r w:rsidRPr="004B1C91">
        <w:t xml:space="preserve"> V vs. NHE</w:t>
      </w:r>
      <w:r>
        <w:t xml:space="preserve">              (5.2)</w:t>
      </w:r>
    </w:p>
    <w:p w14:paraId="328B3420" w14:textId="77777777" w:rsidR="008834D6" w:rsidRDefault="008834D6" w:rsidP="0047417A">
      <w:pPr>
        <w:spacing w:line="240" w:lineRule="auto"/>
        <w:jc w:val="both"/>
      </w:pPr>
    </w:p>
    <w:p w14:paraId="221EAE1D" w14:textId="7ECA50D0" w:rsidR="008834D6" w:rsidRDefault="00217EC4" w:rsidP="0047417A">
      <w:pPr>
        <w:spacing w:line="240" w:lineRule="auto"/>
        <w:jc w:val="both"/>
      </w:pPr>
      <w:r>
        <w:t>As water is ubiquitously supplied in the electrolyte, this second limiting current is reflective of the low oxygen solubility</w:t>
      </w:r>
      <w:r w:rsidR="008834D6">
        <w:t>, which</w:t>
      </w:r>
      <w:r>
        <w:t xml:space="preserve"> makes O</w:t>
      </w:r>
      <w:r w:rsidRPr="006626E5">
        <w:rPr>
          <w:vertAlign w:val="subscript"/>
        </w:rPr>
        <w:t>2</w:t>
      </w:r>
      <w:r>
        <w:t xml:space="preserve"> the limiting co-reactant for this reaction. </w:t>
      </w:r>
    </w:p>
    <w:p w14:paraId="1460DF4B" w14:textId="25F9802E" w:rsidR="00217EC4" w:rsidRDefault="00217EC4" w:rsidP="0047417A">
      <w:pPr>
        <w:spacing w:line="240" w:lineRule="auto"/>
        <w:ind w:firstLine="720"/>
        <w:jc w:val="both"/>
      </w:pPr>
      <w:r>
        <w:t>If ORR is not limited by the</w:t>
      </w:r>
      <w:r w:rsidR="008834D6">
        <w:t xml:space="preserve"> flux of water or proton mediators</w:t>
      </w:r>
      <w:r>
        <w:t>, and is instead limited by oxygen flux, only one limiting current will be observed</w:t>
      </w:r>
      <w:r w:rsidR="008834D6">
        <w:t xml:space="preserve">, as both reactions are </w:t>
      </w:r>
      <w:r>
        <w:t xml:space="preserve">limited by the flux of the same co-reactant - oxygen. </w:t>
      </w:r>
      <w:r w:rsidR="008834D6">
        <w:t>In Figure S14</w:t>
      </w:r>
      <w:r>
        <w:t>, both the unencapsulated and partially cured electrodes show two distinct limiting regions</w:t>
      </w:r>
      <w:r w:rsidR="008834D6">
        <w:t xml:space="preserve">, with the partially cured </w:t>
      </w:r>
      <w:r>
        <w:t xml:space="preserve">electrode reaching the proton-limited current plateau more gradually than the bare Pt, as is similarly seen during </w:t>
      </w:r>
      <w:r w:rsidR="008834D6">
        <w:t xml:space="preserve">proton limited </w:t>
      </w:r>
      <w:r>
        <w:t>HER. By contrast, the fully cured</w:t>
      </w:r>
      <w:r w:rsidR="008834D6">
        <w:t>,</w:t>
      </w:r>
      <w:r>
        <w:t xml:space="preserve"> 120-minute sample reaches a similar limiting current to that of bare Pt at higher potentials, but instead sustains this same value to more negative potentials without the emergence of a second limiting region. This indicates that the fully cured sample is not limited by the transport of co-reactants like protons and water, and</w:t>
      </w:r>
      <w:r w:rsidR="008834D6">
        <w:t xml:space="preserve"> instead the reaction rate is confined by the slow oxygen transport through the dense, SiO</w:t>
      </w:r>
      <w:r w:rsidR="008834D6" w:rsidRPr="00A51FA8">
        <w:rPr>
          <w:vertAlign w:val="subscript"/>
        </w:rPr>
        <w:t>x</w:t>
      </w:r>
      <w:r w:rsidR="008834D6">
        <w:t>-like overlayer during ORR - even when proton availability in the electrolyte is scarce</w:t>
      </w:r>
      <w:r>
        <w:t xml:space="preserve">. Such a result demonstrates that the longer cured </w:t>
      </w:r>
      <w:r w:rsidR="008834D6">
        <w:t xml:space="preserve">overlayers introduce </w:t>
      </w:r>
      <w:r>
        <w:t xml:space="preserve">much more substantial transport resistance for oxygen than for protons, </w:t>
      </w:r>
      <w:r w:rsidR="008834D6">
        <w:t>where the opposite trend is observed for the partially cured overlayers</w:t>
      </w:r>
    </w:p>
    <w:p w14:paraId="55341EFD" w14:textId="19E7FDC4" w:rsidR="005D6D71" w:rsidRPr="008834D6" w:rsidRDefault="005D6D71" w:rsidP="008834D6">
      <w:pPr>
        <w:jc w:val="both"/>
      </w:pPr>
    </w:p>
    <w:p w14:paraId="46011B4F" w14:textId="77777777" w:rsidR="008834D6" w:rsidRDefault="008834D6">
      <w:pPr>
        <w:rPr>
          <w:rFonts w:eastAsiaTheme="majorEastAsia" w:cstheme="majorBidi"/>
          <w:b/>
          <w:szCs w:val="32"/>
        </w:rPr>
      </w:pPr>
      <w:r>
        <w:br w:type="page"/>
      </w:r>
    </w:p>
    <w:p w14:paraId="54D21B5C" w14:textId="7CD30203" w:rsidR="00050C09" w:rsidRDefault="00050C09" w:rsidP="009C19A2">
      <w:pPr>
        <w:pStyle w:val="Heading1"/>
      </w:pPr>
      <w:r>
        <w:lastRenderedPageBreak/>
        <w:t>ESI References</w:t>
      </w:r>
    </w:p>
    <w:p w14:paraId="6B9F3AC9" w14:textId="6031B714" w:rsidR="00C40602" w:rsidRPr="00C40602" w:rsidRDefault="008B109F" w:rsidP="00C40602">
      <w:pPr>
        <w:widowControl w:val="0"/>
        <w:autoSpaceDE w:val="0"/>
        <w:autoSpaceDN w:val="0"/>
        <w:adjustRightInd w:val="0"/>
        <w:spacing w:line="360" w:lineRule="auto"/>
        <w:ind w:left="640" w:hanging="640"/>
        <w:rPr>
          <w:noProof/>
          <w:szCs w:val="24"/>
        </w:rPr>
      </w:pPr>
      <w:r>
        <w:rPr>
          <w:noProof/>
          <w:szCs w:val="24"/>
        </w:rPr>
        <w:fldChar w:fldCharType="begin" w:fldLock="1"/>
      </w:r>
      <w:r>
        <w:rPr>
          <w:noProof/>
          <w:szCs w:val="24"/>
        </w:rPr>
        <w:instrText xml:space="preserve">ADDIN Mendeley Bibliography CSL_BIBLIOGRAPHY </w:instrText>
      </w:r>
      <w:r>
        <w:rPr>
          <w:noProof/>
          <w:szCs w:val="24"/>
        </w:rPr>
        <w:fldChar w:fldCharType="separate"/>
      </w:r>
      <w:r w:rsidR="00C40602" w:rsidRPr="00C40602">
        <w:rPr>
          <w:noProof/>
          <w:szCs w:val="24"/>
        </w:rPr>
        <w:t>[1]</w:t>
      </w:r>
      <w:r w:rsidR="00C40602" w:rsidRPr="00C40602">
        <w:rPr>
          <w:noProof/>
          <w:szCs w:val="24"/>
        </w:rPr>
        <w:tab/>
        <w:t xml:space="preserve">T. Roychowdhury, C. V. Cushman, R. A. Synowicki, M. R. Linford, </w:t>
      </w:r>
      <w:r w:rsidR="00C40602" w:rsidRPr="00C40602">
        <w:rPr>
          <w:i/>
          <w:iCs/>
          <w:noProof/>
          <w:szCs w:val="24"/>
        </w:rPr>
        <w:t>Surf. Sci. Spectra</w:t>
      </w:r>
      <w:r w:rsidR="00C40602" w:rsidRPr="00C40602">
        <w:rPr>
          <w:noProof/>
          <w:szCs w:val="24"/>
        </w:rPr>
        <w:t xml:space="preserve"> </w:t>
      </w:r>
      <w:r w:rsidR="00C40602" w:rsidRPr="00C40602">
        <w:rPr>
          <w:b/>
          <w:bCs/>
          <w:noProof/>
          <w:szCs w:val="24"/>
        </w:rPr>
        <w:t>2018</w:t>
      </w:r>
      <w:r w:rsidR="00C40602" w:rsidRPr="00C40602">
        <w:rPr>
          <w:noProof/>
          <w:szCs w:val="24"/>
        </w:rPr>
        <w:t xml:space="preserve">, </w:t>
      </w:r>
      <w:r w:rsidR="00C40602" w:rsidRPr="00C40602">
        <w:rPr>
          <w:i/>
          <w:iCs/>
          <w:noProof/>
          <w:szCs w:val="24"/>
        </w:rPr>
        <w:t>25</w:t>
      </w:r>
      <w:r w:rsidR="00C40602" w:rsidRPr="00C40602">
        <w:rPr>
          <w:noProof/>
          <w:szCs w:val="24"/>
        </w:rPr>
        <w:t>, 026001.</w:t>
      </w:r>
    </w:p>
    <w:p w14:paraId="569F2F5A" w14:textId="77777777" w:rsidR="00C40602" w:rsidRPr="00C40602" w:rsidRDefault="00C40602" w:rsidP="00C40602">
      <w:pPr>
        <w:widowControl w:val="0"/>
        <w:autoSpaceDE w:val="0"/>
        <w:autoSpaceDN w:val="0"/>
        <w:adjustRightInd w:val="0"/>
        <w:spacing w:line="360" w:lineRule="auto"/>
        <w:ind w:left="640" w:hanging="640"/>
        <w:rPr>
          <w:noProof/>
          <w:szCs w:val="24"/>
        </w:rPr>
      </w:pPr>
      <w:r w:rsidRPr="00C40602">
        <w:rPr>
          <w:noProof/>
          <w:szCs w:val="24"/>
        </w:rPr>
        <w:t>[2]</w:t>
      </w:r>
      <w:r w:rsidRPr="00C40602">
        <w:rPr>
          <w:noProof/>
          <w:szCs w:val="24"/>
        </w:rPr>
        <w:tab/>
        <w:t xml:space="preserve">J. Kischkat, S. Peters, B. Gruska, M. Semtsiv, M. Chashnikova, M. Klinkmüller, O. Fedosenko, S. MacHulik, A. Aleksandrova, G. Monastyrskyi, Y. Flores, W. T. Masselink, </w:t>
      </w:r>
      <w:r w:rsidRPr="00C40602">
        <w:rPr>
          <w:i/>
          <w:iCs/>
          <w:noProof/>
          <w:szCs w:val="24"/>
        </w:rPr>
        <w:t>Appl. Opt.</w:t>
      </w:r>
      <w:r w:rsidRPr="00C40602">
        <w:rPr>
          <w:noProof/>
          <w:szCs w:val="24"/>
        </w:rPr>
        <w:t xml:space="preserve"> </w:t>
      </w:r>
      <w:r w:rsidRPr="00C40602">
        <w:rPr>
          <w:b/>
          <w:bCs/>
          <w:noProof/>
          <w:szCs w:val="24"/>
        </w:rPr>
        <w:t>2012</w:t>
      </w:r>
      <w:r w:rsidRPr="00C40602">
        <w:rPr>
          <w:noProof/>
          <w:szCs w:val="24"/>
        </w:rPr>
        <w:t xml:space="preserve">, </w:t>
      </w:r>
      <w:r w:rsidRPr="00C40602">
        <w:rPr>
          <w:i/>
          <w:iCs/>
          <w:noProof/>
          <w:szCs w:val="24"/>
        </w:rPr>
        <w:t>51</w:t>
      </w:r>
      <w:r w:rsidRPr="00C40602">
        <w:rPr>
          <w:noProof/>
          <w:szCs w:val="24"/>
        </w:rPr>
        <w:t>, 6789.</w:t>
      </w:r>
    </w:p>
    <w:p w14:paraId="33E863B1" w14:textId="77777777" w:rsidR="00C40602" w:rsidRPr="00C40602" w:rsidRDefault="00C40602" w:rsidP="00C40602">
      <w:pPr>
        <w:widowControl w:val="0"/>
        <w:autoSpaceDE w:val="0"/>
        <w:autoSpaceDN w:val="0"/>
        <w:adjustRightInd w:val="0"/>
        <w:spacing w:line="360" w:lineRule="auto"/>
        <w:ind w:left="640" w:hanging="640"/>
        <w:rPr>
          <w:noProof/>
          <w:szCs w:val="24"/>
        </w:rPr>
      </w:pPr>
      <w:r w:rsidRPr="00C40602">
        <w:rPr>
          <w:noProof/>
          <w:szCs w:val="24"/>
        </w:rPr>
        <w:t>[3]</w:t>
      </w:r>
      <w:r w:rsidRPr="00C40602">
        <w:rPr>
          <w:noProof/>
          <w:szCs w:val="24"/>
        </w:rPr>
        <w:tab/>
        <w:t xml:space="preserve">J. F. Moulder, W. F. Stickle, P. E. Sobol, K. D. Bomben, </w:t>
      </w:r>
      <w:r w:rsidRPr="00C40602">
        <w:rPr>
          <w:i/>
          <w:iCs/>
          <w:noProof/>
          <w:szCs w:val="24"/>
        </w:rPr>
        <w:t>Handbook of X-Ray Photoelectron Spectroscopy</w:t>
      </w:r>
      <w:r w:rsidRPr="00C40602">
        <w:rPr>
          <w:noProof/>
          <w:szCs w:val="24"/>
        </w:rPr>
        <w:t xml:space="preserve">, Physical Electronics, Inc., Eden Prairie, MN, </w:t>
      </w:r>
      <w:r w:rsidRPr="00C40602">
        <w:rPr>
          <w:b/>
          <w:bCs/>
          <w:noProof/>
          <w:szCs w:val="24"/>
        </w:rPr>
        <w:t>1995</w:t>
      </w:r>
      <w:r w:rsidRPr="00C40602">
        <w:rPr>
          <w:noProof/>
          <w:szCs w:val="24"/>
        </w:rPr>
        <w:t>.</w:t>
      </w:r>
    </w:p>
    <w:p w14:paraId="75454887" w14:textId="77777777" w:rsidR="00C40602" w:rsidRPr="00C40602" w:rsidRDefault="00C40602" w:rsidP="00C40602">
      <w:pPr>
        <w:widowControl w:val="0"/>
        <w:autoSpaceDE w:val="0"/>
        <w:autoSpaceDN w:val="0"/>
        <w:adjustRightInd w:val="0"/>
        <w:spacing w:line="360" w:lineRule="auto"/>
        <w:ind w:left="640" w:hanging="640"/>
        <w:rPr>
          <w:noProof/>
          <w:szCs w:val="24"/>
        </w:rPr>
      </w:pPr>
      <w:r w:rsidRPr="00C40602">
        <w:rPr>
          <w:noProof/>
          <w:szCs w:val="24"/>
        </w:rPr>
        <w:t>[4]</w:t>
      </w:r>
      <w:r w:rsidRPr="00C40602">
        <w:rPr>
          <w:noProof/>
          <w:szCs w:val="24"/>
        </w:rPr>
        <w:tab/>
        <w:t xml:space="preserve">R. Alfonsetti, L. Lozzi, P. Passacantando, P. Picozzi, S. Santucci, </w:t>
      </w:r>
      <w:r w:rsidRPr="00C40602">
        <w:rPr>
          <w:i/>
          <w:iCs/>
          <w:noProof/>
          <w:szCs w:val="24"/>
        </w:rPr>
        <w:t>Appl. Surf. Sci.</w:t>
      </w:r>
      <w:r w:rsidRPr="00C40602">
        <w:rPr>
          <w:noProof/>
          <w:szCs w:val="24"/>
        </w:rPr>
        <w:t xml:space="preserve"> </w:t>
      </w:r>
      <w:r w:rsidRPr="00C40602">
        <w:rPr>
          <w:b/>
          <w:bCs/>
          <w:noProof/>
          <w:szCs w:val="24"/>
        </w:rPr>
        <w:t>1993</w:t>
      </w:r>
      <w:r w:rsidRPr="00C40602">
        <w:rPr>
          <w:noProof/>
          <w:szCs w:val="24"/>
        </w:rPr>
        <w:t xml:space="preserve">, </w:t>
      </w:r>
      <w:r w:rsidRPr="00C40602">
        <w:rPr>
          <w:i/>
          <w:iCs/>
          <w:noProof/>
          <w:szCs w:val="24"/>
        </w:rPr>
        <w:t>70/71</w:t>
      </w:r>
      <w:r w:rsidRPr="00C40602">
        <w:rPr>
          <w:noProof/>
          <w:szCs w:val="24"/>
        </w:rPr>
        <w:t>, 222.</w:t>
      </w:r>
    </w:p>
    <w:p w14:paraId="7DFC4AF7" w14:textId="77777777" w:rsidR="00C40602" w:rsidRPr="00C40602" w:rsidRDefault="00C40602" w:rsidP="00C40602">
      <w:pPr>
        <w:widowControl w:val="0"/>
        <w:autoSpaceDE w:val="0"/>
        <w:autoSpaceDN w:val="0"/>
        <w:adjustRightInd w:val="0"/>
        <w:spacing w:line="360" w:lineRule="auto"/>
        <w:ind w:left="640" w:hanging="640"/>
        <w:rPr>
          <w:noProof/>
          <w:szCs w:val="24"/>
        </w:rPr>
      </w:pPr>
      <w:r w:rsidRPr="00C40602">
        <w:rPr>
          <w:noProof/>
          <w:szCs w:val="24"/>
        </w:rPr>
        <w:t>[5]</w:t>
      </w:r>
      <w:r w:rsidRPr="00C40602">
        <w:rPr>
          <w:noProof/>
          <w:szCs w:val="24"/>
        </w:rPr>
        <w:tab/>
        <w:t xml:space="preserve">C. D. Wagner, L. E. Davis, M. V Zeller, J. A. Taylor, R. H. Raymond, L. H. Gale, </w:t>
      </w:r>
      <w:r w:rsidRPr="00C40602">
        <w:rPr>
          <w:i/>
          <w:iCs/>
          <w:noProof/>
          <w:szCs w:val="24"/>
        </w:rPr>
        <w:t>Surf. Interface Anal.</w:t>
      </w:r>
      <w:r w:rsidRPr="00C40602">
        <w:rPr>
          <w:noProof/>
          <w:szCs w:val="24"/>
        </w:rPr>
        <w:t xml:space="preserve"> </w:t>
      </w:r>
      <w:r w:rsidRPr="00C40602">
        <w:rPr>
          <w:b/>
          <w:bCs/>
          <w:noProof/>
          <w:szCs w:val="24"/>
        </w:rPr>
        <w:t>1981</w:t>
      </w:r>
      <w:r w:rsidRPr="00C40602">
        <w:rPr>
          <w:noProof/>
          <w:szCs w:val="24"/>
        </w:rPr>
        <w:t xml:space="preserve">, </w:t>
      </w:r>
      <w:r w:rsidRPr="00C40602">
        <w:rPr>
          <w:i/>
          <w:iCs/>
          <w:noProof/>
          <w:szCs w:val="24"/>
        </w:rPr>
        <w:t>3</w:t>
      </w:r>
      <w:r w:rsidRPr="00C40602">
        <w:rPr>
          <w:noProof/>
          <w:szCs w:val="24"/>
        </w:rPr>
        <w:t>, 211.</w:t>
      </w:r>
    </w:p>
    <w:p w14:paraId="52D4E389" w14:textId="77777777" w:rsidR="00C40602" w:rsidRPr="00C40602" w:rsidRDefault="00C40602" w:rsidP="00C40602">
      <w:pPr>
        <w:widowControl w:val="0"/>
        <w:autoSpaceDE w:val="0"/>
        <w:autoSpaceDN w:val="0"/>
        <w:adjustRightInd w:val="0"/>
        <w:spacing w:line="360" w:lineRule="auto"/>
        <w:ind w:left="640" w:hanging="640"/>
        <w:rPr>
          <w:noProof/>
          <w:szCs w:val="24"/>
        </w:rPr>
      </w:pPr>
      <w:r w:rsidRPr="00C40602">
        <w:rPr>
          <w:noProof/>
          <w:szCs w:val="24"/>
        </w:rPr>
        <w:t>[6]</w:t>
      </w:r>
      <w:r w:rsidRPr="00C40602">
        <w:rPr>
          <w:noProof/>
          <w:szCs w:val="24"/>
        </w:rPr>
        <w:tab/>
        <w:t xml:space="preserve">A. C. M. Kuo, in </w:t>
      </w:r>
      <w:r w:rsidRPr="00C40602">
        <w:rPr>
          <w:i/>
          <w:iCs/>
          <w:noProof/>
          <w:szCs w:val="24"/>
        </w:rPr>
        <w:t>Polym. Data Handb.</w:t>
      </w:r>
      <w:r w:rsidRPr="00C40602">
        <w:rPr>
          <w:noProof/>
          <w:szCs w:val="24"/>
        </w:rPr>
        <w:t xml:space="preserve">, Oxford University Press, </w:t>
      </w:r>
      <w:r w:rsidRPr="00C40602">
        <w:rPr>
          <w:b/>
          <w:bCs/>
          <w:noProof/>
          <w:szCs w:val="24"/>
        </w:rPr>
        <w:t>1999</w:t>
      </w:r>
      <w:r w:rsidRPr="00C40602">
        <w:rPr>
          <w:noProof/>
          <w:szCs w:val="24"/>
        </w:rPr>
        <w:t>, pp. 411–435.</w:t>
      </w:r>
    </w:p>
    <w:p w14:paraId="4C29D7B6" w14:textId="77777777" w:rsidR="00C40602" w:rsidRPr="00C40602" w:rsidRDefault="00C40602" w:rsidP="00C40602">
      <w:pPr>
        <w:widowControl w:val="0"/>
        <w:autoSpaceDE w:val="0"/>
        <w:autoSpaceDN w:val="0"/>
        <w:adjustRightInd w:val="0"/>
        <w:spacing w:line="360" w:lineRule="auto"/>
        <w:ind w:left="640" w:hanging="640"/>
        <w:rPr>
          <w:noProof/>
          <w:szCs w:val="24"/>
        </w:rPr>
      </w:pPr>
      <w:r w:rsidRPr="00C40602">
        <w:rPr>
          <w:noProof/>
          <w:szCs w:val="24"/>
        </w:rPr>
        <w:t>[7]</w:t>
      </w:r>
      <w:r w:rsidRPr="00C40602">
        <w:rPr>
          <w:noProof/>
          <w:szCs w:val="24"/>
        </w:rPr>
        <w:tab/>
        <w:t xml:space="preserve">D. V. Esposito, </w:t>
      </w:r>
      <w:r w:rsidRPr="00C40602">
        <w:rPr>
          <w:i/>
          <w:iCs/>
          <w:noProof/>
          <w:szCs w:val="24"/>
        </w:rPr>
        <w:t>ACS Catal.</w:t>
      </w:r>
      <w:r w:rsidRPr="00C40602">
        <w:rPr>
          <w:noProof/>
          <w:szCs w:val="24"/>
        </w:rPr>
        <w:t xml:space="preserve"> </w:t>
      </w:r>
      <w:r w:rsidRPr="00C40602">
        <w:rPr>
          <w:b/>
          <w:bCs/>
          <w:noProof/>
          <w:szCs w:val="24"/>
        </w:rPr>
        <w:t>2018</w:t>
      </w:r>
      <w:r w:rsidRPr="00C40602">
        <w:rPr>
          <w:noProof/>
          <w:szCs w:val="24"/>
        </w:rPr>
        <w:t xml:space="preserve">, </w:t>
      </w:r>
      <w:r w:rsidRPr="00C40602">
        <w:rPr>
          <w:i/>
          <w:iCs/>
          <w:noProof/>
          <w:szCs w:val="24"/>
        </w:rPr>
        <w:t>8</w:t>
      </w:r>
      <w:r w:rsidRPr="00C40602">
        <w:rPr>
          <w:noProof/>
          <w:szCs w:val="24"/>
        </w:rPr>
        <w:t>, 457.</w:t>
      </w:r>
    </w:p>
    <w:p w14:paraId="7C452BE4" w14:textId="77777777" w:rsidR="00C40602" w:rsidRPr="00C40602" w:rsidRDefault="00C40602" w:rsidP="00C40602">
      <w:pPr>
        <w:widowControl w:val="0"/>
        <w:autoSpaceDE w:val="0"/>
        <w:autoSpaceDN w:val="0"/>
        <w:adjustRightInd w:val="0"/>
        <w:spacing w:line="360" w:lineRule="auto"/>
        <w:ind w:left="640" w:hanging="640"/>
        <w:rPr>
          <w:noProof/>
          <w:szCs w:val="24"/>
        </w:rPr>
      </w:pPr>
      <w:r w:rsidRPr="00C40602">
        <w:rPr>
          <w:noProof/>
          <w:szCs w:val="24"/>
        </w:rPr>
        <w:t>[8]</w:t>
      </w:r>
      <w:r w:rsidRPr="00C40602">
        <w:rPr>
          <w:noProof/>
          <w:szCs w:val="24"/>
        </w:rPr>
        <w:tab/>
        <w:t xml:space="preserve">A. Bard, L. Faulkner, </w:t>
      </w:r>
      <w:r w:rsidRPr="00C40602">
        <w:rPr>
          <w:i/>
          <w:iCs/>
          <w:noProof/>
          <w:szCs w:val="24"/>
        </w:rPr>
        <w:t>Electrochemical Methods</w:t>
      </w:r>
      <w:r w:rsidRPr="00C40602">
        <w:rPr>
          <w:noProof/>
          <w:szCs w:val="24"/>
        </w:rPr>
        <w:t xml:space="preserve">, John Wiley &amp; Sons, Inc., </w:t>
      </w:r>
      <w:r w:rsidRPr="00C40602">
        <w:rPr>
          <w:b/>
          <w:bCs/>
          <w:noProof/>
          <w:szCs w:val="24"/>
        </w:rPr>
        <w:t>2001</w:t>
      </w:r>
      <w:r w:rsidRPr="00C40602">
        <w:rPr>
          <w:noProof/>
          <w:szCs w:val="24"/>
        </w:rPr>
        <w:t>.</w:t>
      </w:r>
    </w:p>
    <w:p w14:paraId="04B1D4AD" w14:textId="77777777" w:rsidR="00C40602" w:rsidRPr="00C40602" w:rsidRDefault="00C40602" w:rsidP="00C40602">
      <w:pPr>
        <w:widowControl w:val="0"/>
        <w:autoSpaceDE w:val="0"/>
        <w:autoSpaceDN w:val="0"/>
        <w:adjustRightInd w:val="0"/>
        <w:spacing w:line="360" w:lineRule="auto"/>
        <w:ind w:left="640" w:hanging="640"/>
        <w:rPr>
          <w:noProof/>
        </w:rPr>
      </w:pPr>
      <w:r w:rsidRPr="00C40602">
        <w:rPr>
          <w:noProof/>
          <w:szCs w:val="24"/>
        </w:rPr>
        <w:t>[9]</w:t>
      </w:r>
      <w:r w:rsidRPr="00C40602">
        <w:rPr>
          <w:noProof/>
          <w:szCs w:val="24"/>
        </w:rPr>
        <w:tab/>
        <w:t xml:space="preserve">A. Gómez-Marín, J. Feliu, T. Edson, </w:t>
      </w:r>
      <w:r w:rsidRPr="00C40602">
        <w:rPr>
          <w:i/>
          <w:iCs/>
          <w:noProof/>
          <w:szCs w:val="24"/>
        </w:rPr>
        <w:t>ACS Catal.</w:t>
      </w:r>
      <w:r w:rsidRPr="00C40602">
        <w:rPr>
          <w:noProof/>
          <w:szCs w:val="24"/>
        </w:rPr>
        <w:t xml:space="preserve"> </w:t>
      </w:r>
      <w:r w:rsidRPr="00C40602">
        <w:rPr>
          <w:b/>
          <w:bCs/>
          <w:noProof/>
          <w:szCs w:val="24"/>
        </w:rPr>
        <w:t>2018</w:t>
      </w:r>
      <w:r w:rsidRPr="00C40602">
        <w:rPr>
          <w:noProof/>
          <w:szCs w:val="24"/>
        </w:rPr>
        <w:t xml:space="preserve">, </w:t>
      </w:r>
      <w:r w:rsidRPr="00C40602">
        <w:rPr>
          <w:i/>
          <w:iCs/>
          <w:noProof/>
          <w:szCs w:val="24"/>
        </w:rPr>
        <w:t>8</w:t>
      </w:r>
      <w:r w:rsidRPr="00C40602">
        <w:rPr>
          <w:noProof/>
          <w:szCs w:val="24"/>
        </w:rPr>
        <w:t>, 7931.</w:t>
      </w:r>
    </w:p>
    <w:p w14:paraId="66A1A955" w14:textId="3E44BCDD" w:rsidR="008B109F" w:rsidRDefault="008B109F" w:rsidP="006B3FCA">
      <w:pPr>
        <w:widowControl w:val="0"/>
        <w:autoSpaceDE w:val="0"/>
        <w:autoSpaceDN w:val="0"/>
        <w:adjustRightInd w:val="0"/>
        <w:spacing w:line="360" w:lineRule="auto"/>
        <w:ind w:left="640" w:hanging="640"/>
        <w:rPr>
          <w:noProof/>
          <w:szCs w:val="24"/>
        </w:rPr>
      </w:pPr>
      <w:r>
        <w:rPr>
          <w:noProof/>
          <w:szCs w:val="24"/>
        </w:rPr>
        <w:fldChar w:fldCharType="end"/>
      </w:r>
    </w:p>
    <w:p w14:paraId="69871CBD" w14:textId="77777777" w:rsidR="008B109F" w:rsidRDefault="008B109F" w:rsidP="006B3FCA">
      <w:pPr>
        <w:widowControl w:val="0"/>
        <w:autoSpaceDE w:val="0"/>
        <w:autoSpaceDN w:val="0"/>
        <w:adjustRightInd w:val="0"/>
        <w:spacing w:line="360" w:lineRule="auto"/>
        <w:ind w:left="640" w:hanging="640"/>
        <w:rPr>
          <w:noProof/>
          <w:szCs w:val="24"/>
        </w:rPr>
      </w:pPr>
    </w:p>
    <w:p w14:paraId="552CEC37" w14:textId="77777777" w:rsidR="008B109F" w:rsidRDefault="008B109F" w:rsidP="006B3FCA">
      <w:pPr>
        <w:widowControl w:val="0"/>
        <w:autoSpaceDE w:val="0"/>
        <w:autoSpaceDN w:val="0"/>
        <w:adjustRightInd w:val="0"/>
        <w:spacing w:line="360" w:lineRule="auto"/>
        <w:ind w:left="640" w:hanging="640"/>
        <w:rPr>
          <w:noProof/>
          <w:szCs w:val="24"/>
        </w:rPr>
      </w:pPr>
    </w:p>
    <w:p w14:paraId="7829ACBF" w14:textId="57FDA607" w:rsidR="00050C09" w:rsidRPr="00050C09" w:rsidRDefault="00050C09" w:rsidP="008E6B7D">
      <w:pPr>
        <w:spacing w:line="360" w:lineRule="auto"/>
      </w:pPr>
    </w:p>
    <w:sectPr w:rsidR="00050C09" w:rsidRPr="00050C09">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DCB1E" w14:textId="77777777" w:rsidR="00923920" w:rsidRDefault="00923920" w:rsidP="00CB4BE7">
      <w:pPr>
        <w:spacing w:line="240" w:lineRule="auto"/>
      </w:pPr>
      <w:r>
        <w:separator/>
      </w:r>
    </w:p>
    <w:p w14:paraId="0355FE1E" w14:textId="77777777" w:rsidR="00923920" w:rsidRDefault="00923920"/>
  </w:endnote>
  <w:endnote w:type="continuationSeparator" w:id="0">
    <w:p w14:paraId="18E559AA" w14:textId="77777777" w:rsidR="00923920" w:rsidRDefault="00923920" w:rsidP="00CB4BE7">
      <w:pPr>
        <w:spacing w:line="240" w:lineRule="auto"/>
      </w:pPr>
      <w:r>
        <w:continuationSeparator/>
      </w:r>
    </w:p>
    <w:p w14:paraId="31AD7F42" w14:textId="77777777" w:rsidR="00923920" w:rsidRDefault="00923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83876"/>
      <w:docPartObj>
        <w:docPartGallery w:val="Page Numbers (Bottom of Page)"/>
        <w:docPartUnique/>
      </w:docPartObj>
    </w:sdtPr>
    <w:sdtEndPr>
      <w:rPr>
        <w:noProof/>
      </w:rPr>
    </w:sdtEndPr>
    <w:sdtContent>
      <w:p w14:paraId="2371B347" w14:textId="6057CD8D" w:rsidR="00DC0983" w:rsidRDefault="00DC0983" w:rsidP="005B35C4">
        <w:pPr>
          <w:pStyle w:val="Footer"/>
          <w:jc w:val="center"/>
        </w:pPr>
        <w:r>
          <w:t>S</w:t>
        </w:r>
        <w:r>
          <w:fldChar w:fldCharType="begin"/>
        </w:r>
        <w:r>
          <w:instrText xml:space="preserve"> PAGE   \* MERGEFORMAT </w:instrText>
        </w:r>
        <w:r>
          <w:fldChar w:fldCharType="separate"/>
        </w:r>
        <w:r w:rsidR="00E8756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97187" w14:textId="77777777" w:rsidR="00923920" w:rsidRDefault="00923920" w:rsidP="00CB4BE7">
      <w:pPr>
        <w:spacing w:line="240" w:lineRule="auto"/>
      </w:pPr>
      <w:r>
        <w:separator/>
      </w:r>
    </w:p>
    <w:p w14:paraId="0D85252F" w14:textId="77777777" w:rsidR="00923920" w:rsidRDefault="00923920"/>
  </w:footnote>
  <w:footnote w:type="continuationSeparator" w:id="0">
    <w:p w14:paraId="63183482" w14:textId="77777777" w:rsidR="00923920" w:rsidRDefault="00923920" w:rsidP="00CB4BE7">
      <w:pPr>
        <w:spacing w:line="240" w:lineRule="auto"/>
      </w:pPr>
      <w:r>
        <w:continuationSeparator/>
      </w:r>
    </w:p>
    <w:p w14:paraId="32A33DF0" w14:textId="77777777" w:rsidR="00923920" w:rsidRDefault="0092392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CFE"/>
    <w:multiLevelType w:val="hybridMultilevel"/>
    <w:tmpl w:val="8E9ED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008FE"/>
    <w:multiLevelType w:val="hybridMultilevel"/>
    <w:tmpl w:val="AE020D88"/>
    <w:lvl w:ilvl="0" w:tplc="6C44FF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86BE8"/>
    <w:multiLevelType w:val="multilevel"/>
    <w:tmpl w:val="28D0076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2B5C5A"/>
    <w:multiLevelType w:val="hybridMultilevel"/>
    <w:tmpl w:val="8A849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D1105"/>
    <w:multiLevelType w:val="hybridMultilevel"/>
    <w:tmpl w:val="7AA0F2F6"/>
    <w:lvl w:ilvl="0" w:tplc="7F7A0722">
      <w:start w:val="1"/>
      <w:numFmt w:val="upperRoman"/>
      <w:pStyle w:val="TOC1"/>
      <w:lvlText w:val="S%1."/>
      <w:lvlJc w:val="center"/>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83CD5"/>
    <w:multiLevelType w:val="hybridMultilevel"/>
    <w:tmpl w:val="E4DA1C1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62426A5"/>
    <w:multiLevelType w:val="hybridMultilevel"/>
    <w:tmpl w:val="A5066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86A5C"/>
    <w:multiLevelType w:val="hybridMultilevel"/>
    <w:tmpl w:val="409C0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A3D9B"/>
    <w:multiLevelType w:val="multilevel"/>
    <w:tmpl w:val="CEE85A1E"/>
    <w:lvl w:ilvl="0">
      <w:start w:val="3"/>
      <w:numFmt w:val="upperRoman"/>
      <w:lvlText w:val="%1."/>
      <w:lvlJc w:val="left"/>
      <w:pPr>
        <w:ind w:left="1080" w:hanging="720"/>
      </w:pPr>
      <w:rPr>
        <w:rFonts w:hint="default"/>
      </w:rPr>
    </w:lvl>
    <w:lvl w:ilvl="1">
      <w:start w:val="1"/>
      <w:numFmt w:val="upp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2A76E5"/>
    <w:multiLevelType w:val="hybridMultilevel"/>
    <w:tmpl w:val="AE020D88"/>
    <w:lvl w:ilvl="0" w:tplc="6C44FF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23689"/>
    <w:multiLevelType w:val="hybridMultilevel"/>
    <w:tmpl w:val="A7A2A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E087D"/>
    <w:multiLevelType w:val="hybridMultilevel"/>
    <w:tmpl w:val="409C0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D573B"/>
    <w:multiLevelType w:val="multilevel"/>
    <w:tmpl w:val="8020B994"/>
    <w:lvl w:ilvl="0">
      <w:start w:val="1"/>
      <w:numFmt w:val="upperRoman"/>
      <w:pStyle w:val="Heading1"/>
      <w:lvlText w:val="S%1."/>
      <w:lvlJc w:val="left"/>
      <w:pPr>
        <w:ind w:left="1080" w:hanging="72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4E53AF3"/>
    <w:multiLevelType w:val="hybridMultilevel"/>
    <w:tmpl w:val="AE020D88"/>
    <w:lvl w:ilvl="0" w:tplc="6C44FF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6E6A74"/>
    <w:multiLevelType w:val="hybridMultilevel"/>
    <w:tmpl w:val="409C0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CA4CC6"/>
    <w:multiLevelType w:val="multilevel"/>
    <w:tmpl w:val="022CCC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6482ADC"/>
    <w:multiLevelType w:val="hybridMultilevel"/>
    <w:tmpl w:val="ECB0C3A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73CE6489"/>
    <w:multiLevelType w:val="multilevel"/>
    <w:tmpl w:val="2408C85E"/>
    <w:lvl w:ilvl="0">
      <w:start w:val="1"/>
      <w:numFmt w:val="decimal"/>
      <w:pStyle w:val="Headingnumbered1"/>
      <w:suff w:val="space"/>
      <w:lvlText w:val="%1."/>
      <w:lvlJc w:val="left"/>
      <w:pPr>
        <w:ind w:left="0" w:firstLine="0"/>
      </w:pPr>
      <w:rPr>
        <w:rFonts w:hint="default"/>
      </w:rPr>
    </w:lvl>
    <w:lvl w:ilvl="1">
      <w:start w:val="1"/>
      <w:numFmt w:val="decimal"/>
      <w:pStyle w:val="Headingnumbered2"/>
      <w:suff w:val="space"/>
      <w:lvlText w:val="%1.%2."/>
      <w:lvlJc w:val="left"/>
      <w:pPr>
        <w:ind w:left="0" w:firstLine="0"/>
      </w:pPr>
      <w:rPr>
        <w:rFonts w:hint="default"/>
      </w:rPr>
    </w:lvl>
    <w:lvl w:ilvl="2">
      <w:start w:val="1"/>
      <w:numFmt w:val="decimal"/>
      <w:pStyle w:val="Headingnumbered3"/>
      <w:suff w:val="space"/>
      <w:lvlText w:val="%1.%2.%3."/>
      <w:lvlJc w:val="left"/>
      <w:pPr>
        <w:ind w:left="0" w:firstLine="0"/>
      </w:pPr>
      <w:rPr>
        <w:rFonts w:hint="default"/>
      </w:rPr>
    </w:lvl>
    <w:lvl w:ilvl="3">
      <w:start w:val="1"/>
      <w:numFmt w:val="decimal"/>
      <w:pStyle w:val="Headingnumbered4"/>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7"/>
  </w:num>
  <w:num w:numId="2">
    <w:abstractNumId w:val="17"/>
  </w:num>
  <w:num w:numId="3">
    <w:abstractNumId w:val="17"/>
  </w:num>
  <w:num w:numId="4">
    <w:abstractNumId w:val="17"/>
  </w:num>
  <w:num w:numId="5">
    <w:abstractNumId w:val="16"/>
  </w:num>
  <w:num w:numId="6">
    <w:abstractNumId w:val="6"/>
  </w:num>
  <w:num w:numId="7">
    <w:abstractNumId w:val="0"/>
  </w:num>
  <w:num w:numId="8">
    <w:abstractNumId w:val="3"/>
  </w:num>
  <w:num w:numId="9">
    <w:abstractNumId w:val="14"/>
  </w:num>
  <w:num w:numId="10">
    <w:abstractNumId w:val="11"/>
  </w:num>
  <w:num w:numId="11">
    <w:abstractNumId w:val="7"/>
  </w:num>
  <w:num w:numId="12">
    <w:abstractNumId w:val="10"/>
  </w:num>
  <w:num w:numId="13">
    <w:abstractNumId w:val="4"/>
  </w:num>
  <w:num w:numId="14">
    <w:abstractNumId w:val="1"/>
  </w:num>
  <w:num w:numId="15">
    <w:abstractNumId w:val="9"/>
  </w:num>
  <w:num w:numId="16">
    <w:abstractNumId w:val="13"/>
  </w:num>
  <w:num w:numId="17">
    <w:abstractNumId w:val="12"/>
  </w:num>
  <w:num w:numId="18">
    <w:abstractNumId w:val="5"/>
  </w:num>
  <w:num w:numId="19">
    <w:abstractNumId w:val="2"/>
  </w:num>
  <w:num w:numId="20">
    <w:abstractNumId w:val="15"/>
  </w:num>
  <w:num w:numId="21">
    <w:abstractNumId w:val="8"/>
  </w:num>
  <w:num w:numId="2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875"/>
    <w:rsid w:val="00001CE1"/>
    <w:rsid w:val="00001DFA"/>
    <w:rsid w:val="00002240"/>
    <w:rsid w:val="00003E44"/>
    <w:rsid w:val="0000478B"/>
    <w:rsid w:val="00004E34"/>
    <w:rsid w:val="00005B4D"/>
    <w:rsid w:val="00006BE6"/>
    <w:rsid w:val="00010738"/>
    <w:rsid w:val="0001077D"/>
    <w:rsid w:val="00011A00"/>
    <w:rsid w:val="00012EC4"/>
    <w:rsid w:val="00013141"/>
    <w:rsid w:val="00017E0E"/>
    <w:rsid w:val="00020328"/>
    <w:rsid w:val="0002169F"/>
    <w:rsid w:val="00023D56"/>
    <w:rsid w:val="00025F7D"/>
    <w:rsid w:val="00026E13"/>
    <w:rsid w:val="00027C3C"/>
    <w:rsid w:val="0003026D"/>
    <w:rsid w:val="000308A1"/>
    <w:rsid w:val="000309C6"/>
    <w:rsid w:val="00031FF8"/>
    <w:rsid w:val="00032E8C"/>
    <w:rsid w:val="00034C7C"/>
    <w:rsid w:val="00035F18"/>
    <w:rsid w:val="000360D2"/>
    <w:rsid w:val="00036C82"/>
    <w:rsid w:val="00037100"/>
    <w:rsid w:val="0004067A"/>
    <w:rsid w:val="000407A4"/>
    <w:rsid w:val="00043E91"/>
    <w:rsid w:val="00046B52"/>
    <w:rsid w:val="00047FC2"/>
    <w:rsid w:val="00050C09"/>
    <w:rsid w:val="000519F0"/>
    <w:rsid w:val="000532F8"/>
    <w:rsid w:val="00053B8C"/>
    <w:rsid w:val="00056AF0"/>
    <w:rsid w:val="0006086F"/>
    <w:rsid w:val="00062AC4"/>
    <w:rsid w:val="00064759"/>
    <w:rsid w:val="0006538C"/>
    <w:rsid w:val="0006556C"/>
    <w:rsid w:val="00067F3A"/>
    <w:rsid w:val="0007016F"/>
    <w:rsid w:val="00070305"/>
    <w:rsid w:val="000737EF"/>
    <w:rsid w:val="000746B5"/>
    <w:rsid w:val="00077680"/>
    <w:rsid w:val="00077AEA"/>
    <w:rsid w:val="00084B1E"/>
    <w:rsid w:val="000878F5"/>
    <w:rsid w:val="00090665"/>
    <w:rsid w:val="00091136"/>
    <w:rsid w:val="000935A8"/>
    <w:rsid w:val="00096458"/>
    <w:rsid w:val="000A4E69"/>
    <w:rsid w:val="000A501C"/>
    <w:rsid w:val="000B118D"/>
    <w:rsid w:val="000B5266"/>
    <w:rsid w:val="000C617A"/>
    <w:rsid w:val="000C78B5"/>
    <w:rsid w:val="000C79E2"/>
    <w:rsid w:val="000D1749"/>
    <w:rsid w:val="000D1AF0"/>
    <w:rsid w:val="000D529A"/>
    <w:rsid w:val="000D5BB2"/>
    <w:rsid w:val="000D7011"/>
    <w:rsid w:val="000D709D"/>
    <w:rsid w:val="000D73EF"/>
    <w:rsid w:val="000E1306"/>
    <w:rsid w:val="000E414C"/>
    <w:rsid w:val="000E6FAE"/>
    <w:rsid w:val="000E7429"/>
    <w:rsid w:val="000E7448"/>
    <w:rsid w:val="000F132F"/>
    <w:rsid w:val="000F43A9"/>
    <w:rsid w:val="000F4501"/>
    <w:rsid w:val="000F4ECD"/>
    <w:rsid w:val="0010269D"/>
    <w:rsid w:val="001035C2"/>
    <w:rsid w:val="00103C29"/>
    <w:rsid w:val="00104068"/>
    <w:rsid w:val="0010459E"/>
    <w:rsid w:val="00105A36"/>
    <w:rsid w:val="00113C6B"/>
    <w:rsid w:val="00113D23"/>
    <w:rsid w:val="001146DC"/>
    <w:rsid w:val="00114CCF"/>
    <w:rsid w:val="00116DC0"/>
    <w:rsid w:val="001176F6"/>
    <w:rsid w:val="00120576"/>
    <w:rsid w:val="00121744"/>
    <w:rsid w:val="001219CA"/>
    <w:rsid w:val="001233F8"/>
    <w:rsid w:val="0012380F"/>
    <w:rsid w:val="00125427"/>
    <w:rsid w:val="0012593E"/>
    <w:rsid w:val="001269E0"/>
    <w:rsid w:val="00135A1C"/>
    <w:rsid w:val="0013669E"/>
    <w:rsid w:val="00137210"/>
    <w:rsid w:val="00137434"/>
    <w:rsid w:val="001413AF"/>
    <w:rsid w:val="00142013"/>
    <w:rsid w:val="00145169"/>
    <w:rsid w:val="001471A9"/>
    <w:rsid w:val="001508E2"/>
    <w:rsid w:val="0015111C"/>
    <w:rsid w:val="00151827"/>
    <w:rsid w:val="001519DE"/>
    <w:rsid w:val="00152CAD"/>
    <w:rsid w:val="00154360"/>
    <w:rsid w:val="0016096B"/>
    <w:rsid w:val="00161A52"/>
    <w:rsid w:val="0016231A"/>
    <w:rsid w:val="00164264"/>
    <w:rsid w:val="00167F42"/>
    <w:rsid w:val="00172529"/>
    <w:rsid w:val="00174459"/>
    <w:rsid w:val="00175AF8"/>
    <w:rsid w:val="0017602B"/>
    <w:rsid w:val="00176448"/>
    <w:rsid w:val="00177B49"/>
    <w:rsid w:val="00181146"/>
    <w:rsid w:val="00182042"/>
    <w:rsid w:val="00182126"/>
    <w:rsid w:val="0018275D"/>
    <w:rsid w:val="00182928"/>
    <w:rsid w:val="0018307F"/>
    <w:rsid w:val="001833ED"/>
    <w:rsid w:val="00185699"/>
    <w:rsid w:val="00185BC8"/>
    <w:rsid w:val="00186788"/>
    <w:rsid w:val="00187435"/>
    <w:rsid w:val="00187DB9"/>
    <w:rsid w:val="00192402"/>
    <w:rsid w:val="00192659"/>
    <w:rsid w:val="001939B7"/>
    <w:rsid w:val="00196C5F"/>
    <w:rsid w:val="0019756B"/>
    <w:rsid w:val="001A1A40"/>
    <w:rsid w:val="001A1FCA"/>
    <w:rsid w:val="001A1FD9"/>
    <w:rsid w:val="001A24C8"/>
    <w:rsid w:val="001A39AD"/>
    <w:rsid w:val="001A4624"/>
    <w:rsid w:val="001A583C"/>
    <w:rsid w:val="001A5EBE"/>
    <w:rsid w:val="001B0022"/>
    <w:rsid w:val="001B0DB5"/>
    <w:rsid w:val="001B0F93"/>
    <w:rsid w:val="001B1741"/>
    <w:rsid w:val="001B19E6"/>
    <w:rsid w:val="001B208F"/>
    <w:rsid w:val="001B2279"/>
    <w:rsid w:val="001B2323"/>
    <w:rsid w:val="001B2B4A"/>
    <w:rsid w:val="001B418A"/>
    <w:rsid w:val="001B6F74"/>
    <w:rsid w:val="001B7486"/>
    <w:rsid w:val="001B7B8A"/>
    <w:rsid w:val="001C33F8"/>
    <w:rsid w:val="001C50B8"/>
    <w:rsid w:val="001C6904"/>
    <w:rsid w:val="001C7990"/>
    <w:rsid w:val="001D157B"/>
    <w:rsid w:val="001D414D"/>
    <w:rsid w:val="001D4C54"/>
    <w:rsid w:val="001D5013"/>
    <w:rsid w:val="001D5E5F"/>
    <w:rsid w:val="001E1421"/>
    <w:rsid w:val="001E1785"/>
    <w:rsid w:val="001E3238"/>
    <w:rsid w:val="001E49D7"/>
    <w:rsid w:val="001F03A7"/>
    <w:rsid w:val="001F56CA"/>
    <w:rsid w:val="001F5EB1"/>
    <w:rsid w:val="001F6F1F"/>
    <w:rsid w:val="001F7627"/>
    <w:rsid w:val="002003D0"/>
    <w:rsid w:val="00205C74"/>
    <w:rsid w:val="00205E51"/>
    <w:rsid w:val="002119BE"/>
    <w:rsid w:val="0021319C"/>
    <w:rsid w:val="002146F5"/>
    <w:rsid w:val="00215450"/>
    <w:rsid w:val="002159D2"/>
    <w:rsid w:val="00216F9B"/>
    <w:rsid w:val="00217694"/>
    <w:rsid w:val="00217E15"/>
    <w:rsid w:val="00217EC4"/>
    <w:rsid w:val="0022052C"/>
    <w:rsid w:val="00220A9E"/>
    <w:rsid w:val="00224EA4"/>
    <w:rsid w:val="0022563B"/>
    <w:rsid w:val="00226B59"/>
    <w:rsid w:val="00227BBC"/>
    <w:rsid w:val="00230D25"/>
    <w:rsid w:val="00230DEA"/>
    <w:rsid w:val="00236359"/>
    <w:rsid w:val="002417C4"/>
    <w:rsid w:val="00244391"/>
    <w:rsid w:val="002457B5"/>
    <w:rsid w:val="00245E1C"/>
    <w:rsid w:val="00247A9D"/>
    <w:rsid w:val="00250E84"/>
    <w:rsid w:val="00251E07"/>
    <w:rsid w:val="00253C38"/>
    <w:rsid w:val="00256CC4"/>
    <w:rsid w:val="0025716F"/>
    <w:rsid w:val="00261736"/>
    <w:rsid w:val="00262ED7"/>
    <w:rsid w:val="00267A5C"/>
    <w:rsid w:val="00271942"/>
    <w:rsid w:val="00275532"/>
    <w:rsid w:val="00281FE3"/>
    <w:rsid w:val="002827CD"/>
    <w:rsid w:val="00283365"/>
    <w:rsid w:val="002847DE"/>
    <w:rsid w:val="00285910"/>
    <w:rsid w:val="00291726"/>
    <w:rsid w:val="00293B76"/>
    <w:rsid w:val="00294132"/>
    <w:rsid w:val="002946D1"/>
    <w:rsid w:val="0029498D"/>
    <w:rsid w:val="00294FC9"/>
    <w:rsid w:val="002967BB"/>
    <w:rsid w:val="00297178"/>
    <w:rsid w:val="002A0BB9"/>
    <w:rsid w:val="002A1856"/>
    <w:rsid w:val="002A3570"/>
    <w:rsid w:val="002A398B"/>
    <w:rsid w:val="002A75EE"/>
    <w:rsid w:val="002A7795"/>
    <w:rsid w:val="002B152B"/>
    <w:rsid w:val="002B17CF"/>
    <w:rsid w:val="002B18EB"/>
    <w:rsid w:val="002B4F75"/>
    <w:rsid w:val="002B60F2"/>
    <w:rsid w:val="002B67D7"/>
    <w:rsid w:val="002B6875"/>
    <w:rsid w:val="002B6CC6"/>
    <w:rsid w:val="002B752D"/>
    <w:rsid w:val="002C1785"/>
    <w:rsid w:val="002C2424"/>
    <w:rsid w:val="002C3014"/>
    <w:rsid w:val="002C3BC0"/>
    <w:rsid w:val="002C5393"/>
    <w:rsid w:val="002C6D01"/>
    <w:rsid w:val="002C6EB0"/>
    <w:rsid w:val="002C7A12"/>
    <w:rsid w:val="002C7AB6"/>
    <w:rsid w:val="002C7E66"/>
    <w:rsid w:val="002D0740"/>
    <w:rsid w:val="002D0943"/>
    <w:rsid w:val="002D347A"/>
    <w:rsid w:val="002D5F21"/>
    <w:rsid w:val="002D6909"/>
    <w:rsid w:val="002D6B3F"/>
    <w:rsid w:val="002D6DB0"/>
    <w:rsid w:val="002E1993"/>
    <w:rsid w:val="002E28EB"/>
    <w:rsid w:val="002E3828"/>
    <w:rsid w:val="002E3EC5"/>
    <w:rsid w:val="002E4A34"/>
    <w:rsid w:val="002E67DC"/>
    <w:rsid w:val="002E704D"/>
    <w:rsid w:val="002F0145"/>
    <w:rsid w:val="002F0338"/>
    <w:rsid w:val="002F1057"/>
    <w:rsid w:val="002F37D7"/>
    <w:rsid w:val="002F6910"/>
    <w:rsid w:val="002F6E33"/>
    <w:rsid w:val="002F71EB"/>
    <w:rsid w:val="003006CC"/>
    <w:rsid w:val="003025F3"/>
    <w:rsid w:val="0030618E"/>
    <w:rsid w:val="00306AB3"/>
    <w:rsid w:val="00307307"/>
    <w:rsid w:val="00307A5C"/>
    <w:rsid w:val="00307C5A"/>
    <w:rsid w:val="00314434"/>
    <w:rsid w:val="0031471A"/>
    <w:rsid w:val="0031590C"/>
    <w:rsid w:val="00315C71"/>
    <w:rsid w:val="003164CC"/>
    <w:rsid w:val="003165D5"/>
    <w:rsid w:val="003165D7"/>
    <w:rsid w:val="00316F3D"/>
    <w:rsid w:val="00316FE9"/>
    <w:rsid w:val="00320BD6"/>
    <w:rsid w:val="00321142"/>
    <w:rsid w:val="00327D65"/>
    <w:rsid w:val="00331BB8"/>
    <w:rsid w:val="00334560"/>
    <w:rsid w:val="00335F15"/>
    <w:rsid w:val="00347DB6"/>
    <w:rsid w:val="00350283"/>
    <w:rsid w:val="0035071D"/>
    <w:rsid w:val="00351070"/>
    <w:rsid w:val="003522E2"/>
    <w:rsid w:val="00352605"/>
    <w:rsid w:val="00354967"/>
    <w:rsid w:val="00355E83"/>
    <w:rsid w:val="003578BB"/>
    <w:rsid w:val="003579A9"/>
    <w:rsid w:val="00361926"/>
    <w:rsid w:val="003647D8"/>
    <w:rsid w:val="003648BB"/>
    <w:rsid w:val="00365837"/>
    <w:rsid w:val="00367A8D"/>
    <w:rsid w:val="003800A1"/>
    <w:rsid w:val="00381958"/>
    <w:rsid w:val="00381C14"/>
    <w:rsid w:val="00382267"/>
    <w:rsid w:val="003853F4"/>
    <w:rsid w:val="00385E91"/>
    <w:rsid w:val="003949A4"/>
    <w:rsid w:val="00394F9D"/>
    <w:rsid w:val="0039586D"/>
    <w:rsid w:val="00395A5F"/>
    <w:rsid w:val="00396584"/>
    <w:rsid w:val="0039673E"/>
    <w:rsid w:val="00397DA9"/>
    <w:rsid w:val="003A092E"/>
    <w:rsid w:val="003A0EB7"/>
    <w:rsid w:val="003A1920"/>
    <w:rsid w:val="003A245C"/>
    <w:rsid w:val="003A4E19"/>
    <w:rsid w:val="003A4E85"/>
    <w:rsid w:val="003A4EE7"/>
    <w:rsid w:val="003A6684"/>
    <w:rsid w:val="003B07E4"/>
    <w:rsid w:val="003B1231"/>
    <w:rsid w:val="003B19DF"/>
    <w:rsid w:val="003B2596"/>
    <w:rsid w:val="003B2AFA"/>
    <w:rsid w:val="003B4FBD"/>
    <w:rsid w:val="003B6734"/>
    <w:rsid w:val="003B6870"/>
    <w:rsid w:val="003B695D"/>
    <w:rsid w:val="003B74E3"/>
    <w:rsid w:val="003C1C6F"/>
    <w:rsid w:val="003C30FD"/>
    <w:rsid w:val="003C361A"/>
    <w:rsid w:val="003C3AA1"/>
    <w:rsid w:val="003C437F"/>
    <w:rsid w:val="003C4AD5"/>
    <w:rsid w:val="003C7F64"/>
    <w:rsid w:val="003D155E"/>
    <w:rsid w:val="003D2694"/>
    <w:rsid w:val="003D582A"/>
    <w:rsid w:val="003D6008"/>
    <w:rsid w:val="003E2730"/>
    <w:rsid w:val="003E3729"/>
    <w:rsid w:val="003E3FCC"/>
    <w:rsid w:val="003E674E"/>
    <w:rsid w:val="003E6ECD"/>
    <w:rsid w:val="003E754F"/>
    <w:rsid w:val="003F5FC5"/>
    <w:rsid w:val="004027A6"/>
    <w:rsid w:val="00404085"/>
    <w:rsid w:val="00404C4D"/>
    <w:rsid w:val="004050E7"/>
    <w:rsid w:val="0041108F"/>
    <w:rsid w:val="004117E2"/>
    <w:rsid w:val="0041204C"/>
    <w:rsid w:val="00412286"/>
    <w:rsid w:val="0041342A"/>
    <w:rsid w:val="004157D0"/>
    <w:rsid w:val="00415A3C"/>
    <w:rsid w:val="00416C2D"/>
    <w:rsid w:val="004209A2"/>
    <w:rsid w:val="004229F4"/>
    <w:rsid w:val="00422C1F"/>
    <w:rsid w:val="00424256"/>
    <w:rsid w:val="0042434E"/>
    <w:rsid w:val="00426D47"/>
    <w:rsid w:val="004334EA"/>
    <w:rsid w:val="00433B2E"/>
    <w:rsid w:val="004344DD"/>
    <w:rsid w:val="0043557D"/>
    <w:rsid w:val="0044070D"/>
    <w:rsid w:val="00440E77"/>
    <w:rsid w:val="0044433C"/>
    <w:rsid w:val="00444D9D"/>
    <w:rsid w:val="004456AE"/>
    <w:rsid w:val="00447986"/>
    <w:rsid w:val="00447F80"/>
    <w:rsid w:val="00450025"/>
    <w:rsid w:val="004541EB"/>
    <w:rsid w:val="0045560F"/>
    <w:rsid w:val="00463997"/>
    <w:rsid w:val="004659E9"/>
    <w:rsid w:val="00465FF4"/>
    <w:rsid w:val="00467BFE"/>
    <w:rsid w:val="0047094B"/>
    <w:rsid w:val="00472DC2"/>
    <w:rsid w:val="0047417A"/>
    <w:rsid w:val="00474B8F"/>
    <w:rsid w:val="00475E7D"/>
    <w:rsid w:val="0047664B"/>
    <w:rsid w:val="004771D6"/>
    <w:rsid w:val="004772EC"/>
    <w:rsid w:val="00482997"/>
    <w:rsid w:val="004837F6"/>
    <w:rsid w:val="004861F5"/>
    <w:rsid w:val="0048765C"/>
    <w:rsid w:val="00487946"/>
    <w:rsid w:val="00487D41"/>
    <w:rsid w:val="00491816"/>
    <w:rsid w:val="004924ED"/>
    <w:rsid w:val="00492D11"/>
    <w:rsid w:val="00494613"/>
    <w:rsid w:val="00494C2F"/>
    <w:rsid w:val="00495266"/>
    <w:rsid w:val="00495E1D"/>
    <w:rsid w:val="004967E8"/>
    <w:rsid w:val="0049767B"/>
    <w:rsid w:val="004A1EB0"/>
    <w:rsid w:val="004A3281"/>
    <w:rsid w:val="004A3403"/>
    <w:rsid w:val="004A3FC0"/>
    <w:rsid w:val="004A4A2B"/>
    <w:rsid w:val="004A5189"/>
    <w:rsid w:val="004A59C0"/>
    <w:rsid w:val="004B2D4D"/>
    <w:rsid w:val="004B31DD"/>
    <w:rsid w:val="004B47DB"/>
    <w:rsid w:val="004C1091"/>
    <w:rsid w:val="004C1EA4"/>
    <w:rsid w:val="004C2EC2"/>
    <w:rsid w:val="004C676B"/>
    <w:rsid w:val="004C6CA3"/>
    <w:rsid w:val="004D0163"/>
    <w:rsid w:val="004D38AC"/>
    <w:rsid w:val="004D4A4D"/>
    <w:rsid w:val="004D79E7"/>
    <w:rsid w:val="004D7E9D"/>
    <w:rsid w:val="004E062B"/>
    <w:rsid w:val="004E0D34"/>
    <w:rsid w:val="004E3223"/>
    <w:rsid w:val="004E43BE"/>
    <w:rsid w:val="004E6BE5"/>
    <w:rsid w:val="004F0609"/>
    <w:rsid w:val="004F16A0"/>
    <w:rsid w:val="004F315E"/>
    <w:rsid w:val="004F34AE"/>
    <w:rsid w:val="004F38EE"/>
    <w:rsid w:val="004F3DC5"/>
    <w:rsid w:val="004F5AFD"/>
    <w:rsid w:val="004F63AA"/>
    <w:rsid w:val="004F7E02"/>
    <w:rsid w:val="005020ED"/>
    <w:rsid w:val="00504C51"/>
    <w:rsid w:val="00505595"/>
    <w:rsid w:val="005055AD"/>
    <w:rsid w:val="00505BCA"/>
    <w:rsid w:val="005103EF"/>
    <w:rsid w:val="00510DDE"/>
    <w:rsid w:val="0051456D"/>
    <w:rsid w:val="00514760"/>
    <w:rsid w:val="005166DA"/>
    <w:rsid w:val="00516B3F"/>
    <w:rsid w:val="00520D7B"/>
    <w:rsid w:val="005214EE"/>
    <w:rsid w:val="005264D8"/>
    <w:rsid w:val="005272FE"/>
    <w:rsid w:val="0052758D"/>
    <w:rsid w:val="0052758E"/>
    <w:rsid w:val="00527B9D"/>
    <w:rsid w:val="0053119E"/>
    <w:rsid w:val="00532230"/>
    <w:rsid w:val="0053320B"/>
    <w:rsid w:val="005343C1"/>
    <w:rsid w:val="0053710A"/>
    <w:rsid w:val="00537839"/>
    <w:rsid w:val="00541169"/>
    <w:rsid w:val="0054184B"/>
    <w:rsid w:val="005432E9"/>
    <w:rsid w:val="005444F5"/>
    <w:rsid w:val="005448E0"/>
    <w:rsid w:val="00546306"/>
    <w:rsid w:val="0054671A"/>
    <w:rsid w:val="005467C3"/>
    <w:rsid w:val="00547F95"/>
    <w:rsid w:val="00550AA9"/>
    <w:rsid w:val="00551753"/>
    <w:rsid w:val="00553828"/>
    <w:rsid w:val="00553A09"/>
    <w:rsid w:val="00553F24"/>
    <w:rsid w:val="00553FC9"/>
    <w:rsid w:val="00554306"/>
    <w:rsid w:val="00554FCB"/>
    <w:rsid w:val="0055563A"/>
    <w:rsid w:val="00556939"/>
    <w:rsid w:val="00560121"/>
    <w:rsid w:val="00560B77"/>
    <w:rsid w:val="0056104D"/>
    <w:rsid w:val="005670A0"/>
    <w:rsid w:val="0057096F"/>
    <w:rsid w:val="00572B1F"/>
    <w:rsid w:val="0057326C"/>
    <w:rsid w:val="00573A83"/>
    <w:rsid w:val="005740B0"/>
    <w:rsid w:val="005745D3"/>
    <w:rsid w:val="00574812"/>
    <w:rsid w:val="005776A0"/>
    <w:rsid w:val="00580840"/>
    <w:rsid w:val="005845B0"/>
    <w:rsid w:val="0058498E"/>
    <w:rsid w:val="0058517D"/>
    <w:rsid w:val="00590BE9"/>
    <w:rsid w:val="0059207A"/>
    <w:rsid w:val="005923A5"/>
    <w:rsid w:val="00595028"/>
    <w:rsid w:val="005A1384"/>
    <w:rsid w:val="005A360A"/>
    <w:rsid w:val="005A4349"/>
    <w:rsid w:val="005A78BE"/>
    <w:rsid w:val="005B0736"/>
    <w:rsid w:val="005B35C4"/>
    <w:rsid w:val="005B4FA8"/>
    <w:rsid w:val="005B5586"/>
    <w:rsid w:val="005B59F9"/>
    <w:rsid w:val="005B6C62"/>
    <w:rsid w:val="005B6ECC"/>
    <w:rsid w:val="005C1461"/>
    <w:rsid w:val="005C1947"/>
    <w:rsid w:val="005C3EEE"/>
    <w:rsid w:val="005C42AF"/>
    <w:rsid w:val="005C42FD"/>
    <w:rsid w:val="005C43D8"/>
    <w:rsid w:val="005C63D2"/>
    <w:rsid w:val="005D0242"/>
    <w:rsid w:val="005D070E"/>
    <w:rsid w:val="005D0912"/>
    <w:rsid w:val="005D1ED8"/>
    <w:rsid w:val="005D281A"/>
    <w:rsid w:val="005D3801"/>
    <w:rsid w:val="005D531D"/>
    <w:rsid w:val="005D5420"/>
    <w:rsid w:val="005D6D71"/>
    <w:rsid w:val="005D7422"/>
    <w:rsid w:val="005D7970"/>
    <w:rsid w:val="005E0E47"/>
    <w:rsid w:val="005E1F20"/>
    <w:rsid w:val="005E4B8E"/>
    <w:rsid w:val="005E5500"/>
    <w:rsid w:val="005E5EFD"/>
    <w:rsid w:val="005F4B4D"/>
    <w:rsid w:val="005F4DCD"/>
    <w:rsid w:val="005F6FF7"/>
    <w:rsid w:val="0060039A"/>
    <w:rsid w:val="00600400"/>
    <w:rsid w:val="006018B7"/>
    <w:rsid w:val="00601D85"/>
    <w:rsid w:val="006056E8"/>
    <w:rsid w:val="00605787"/>
    <w:rsid w:val="00605AA7"/>
    <w:rsid w:val="00606EE6"/>
    <w:rsid w:val="006128E3"/>
    <w:rsid w:val="006136B2"/>
    <w:rsid w:val="00613C57"/>
    <w:rsid w:val="00614FE5"/>
    <w:rsid w:val="00620440"/>
    <w:rsid w:val="00620DA0"/>
    <w:rsid w:val="00622EE3"/>
    <w:rsid w:val="0062405B"/>
    <w:rsid w:val="00625E1C"/>
    <w:rsid w:val="00626230"/>
    <w:rsid w:val="006273A1"/>
    <w:rsid w:val="00630411"/>
    <w:rsid w:val="006345C0"/>
    <w:rsid w:val="006361AB"/>
    <w:rsid w:val="00637A2C"/>
    <w:rsid w:val="00641E2C"/>
    <w:rsid w:val="00643198"/>
    <w:rsid w:val="00644952"/>
    <w:rsid w:val="00644B26"/>
    <w:rsid w:val="00644CF0"/>
    <w:rsid w:val="006455EF"/>
    <w:rsid w:val="0064645B"/>
    <w:rsid w:val="006502F6"/>
    <w:rsid w:val="00651CF9"/>
    <w:rsid w:val="0065310E"/>
    <w:rsid w:val="00653EB4"/>
    <w:rsid w:val="00655A5E"/>
    <w:rsid w:val="00655ADB"/>
    <w:rsid w:val="006566F4"/>
    <w:rsid w:val="00657172"/>
    <w:rsid w:val="006600F2"/>
    <w:rsid w:val="00660435"/>
    <w:rsid w:val="00661616"/>
    <w:rsid w:val="00662149"/>
    <w:rsid w:val="006655F5"/>
    <w:rsid w:val="00665C10"/>
    <w:rsid w:val="00667742"/>
    <w:rsid w:val="00670C30"/>
    <w:rsid w:val="00670DD0"/>
    <w:rsid w:val="00673919"/>
    <w:rsid w:val="00674431"/>
    <w:rsid w:val="00677442"/>
    <w:rsid w:val="00677A44"/>
    <w:rsid w:val="0068128F"/>
    <w:rsid w:val="0068365A"/>
    <w:rsid w:val="00685E41"/>
    <w:rsid w:val="00691440"/>
    <w:rsid w:val="0069152C"/>
    <w:rsid w:val="00692C69"/>
    <w:rsid w:val="006952F2"/>
    <w:rsid w:val="00697EA3"/>
    <w:rsid w:val="006A0B32"/>
    <w:rsid w:val="006A18BB"/>
    <w:rsid w:val="006A1A48"/>
    <w:rsid w:val="006A2952"/>
    <w:rsid w:val="006A465B"/>
    <w:rsid w:val="006A48B0"/>
    <w:rsid w:val="006A5DDF"/>
    <w:rsid w:val="006A60BE"/>
    <w:rsid w:val="006A6E18"/>
    <w:rsid w:val="006A79A8"/>
    <w:rsid w:val="006B0EC3"/>
    <w:rsid w:val="006B12A8"/>
    <w:rsid w:val="006B14A7"/>
    <w:rsid w:val="006B2466"/>
    <w:rsid w:val="006B3FCA"/>
    <w:rsid w:val="006B458A"/>
    <w:rsid w:val="006B7FE9"/>
    <w:rsid w:val="006C03B2"/>
    <w:rsid w:val="006C1C55"/>
    <w:rsid w:val="006C2609"/>
    <w:rsid w:val="006C45CA"/>
    <w:rsid w:val="006C55C0"/>
    <w:rsid w:val="006C5805"/>
    <w:rsid w:val="006C5DD7"/>
    <w:rsid w:val="006C6AF5"/>
    <w:rsid w:val="006D0767"/>
    <w:rsid w:val="006D1A91"/>
    <w:rsid w:val="006D6B42"/>
    <w:rsid w:val="006D6F8E"/>
    <w:rsid w:val="006E5A90"/>
    <w:rsid w:val="006E5F54"/>
    <w:rsid w:val="006E66D0"/>
    <w:rsid w:val="006F1658"/>
    <w:rsid w:val="006F25C0"/>
    <w:rsid w:val="006F31E6"/>
    <w:rsid w:val="00700D9E"/>
    <w:rsid w:val="00701377"/>
    <w:rsid w:val="00701CC0"/>
    <w:rsid w:val="007022C5"/>
    <w:rsid w:val="00702D84"/>
    <w:rsid w:val="007047A1"/>
    <w:rsid w:val="007078EE"/>
    <w:rsid w:val="00710012"/>
    <w:rsid w:val="00710305"/>
    <w:rsid w:val="00713202"/>
    <w:rsid w:val="007169E1"/>
    <w:rsid w:val="00717596"/>
    <w:rsid w:val="0071763F"/>
    <w:rsid w:val="00717C78"/>
    <w:rsid w:val="00722BB4"/>
    <w:rsid w:val="00724A89"/>
    <w:rsid w:val="00730E4F"/>
    <w:rsid w:val="0073171D"/>
    <w:rsid w:val="00732031"/>
    <w:rsid w:val="00732EBC"/>
    <w:rsid w:val="0073478B"/>
    <w:rsid w:val="00735D40"/>
    <w:rsid w:val="00741C4B"/>
    <w:rsid w:val="0074245A"/>
    <w:rsid w:val="00742C01"/>
    <w:rsid w:val="00742D5F"/>
    <w:rsid w:val="007450EF"/>
    <w:rsid w:val="00745634"/>
    <w:rsid w:val="00747044"/>
    <w:rsid w:val="0074750E"/>
    <w:rsid w:val="00747864"/>
    <w:rsid w:val="007503FB"/>
    <w:rsid w:val="0075136C"/>
    <w:rsid w:val="0075161E"/>
    <w:rsid w:val="00751769"/>
    <w:rsid w:val="00753D0E"/>
    <w:rsid w:val="00753D1A"/>
    <w:rsid w:val="00754ABB"/>
    <w:rsid w:val="00755BA3"/>
    <w:rsid w:val="007567AE"/>
    <w:rsid w:val="0075719A"/>
    <w:rsid w:val="00761FF8"/>
    <w:rsid w:val="00762185"/>
    <w:rsid w:val="00763297"/>
    <w:rsid w:val="0076488F"/>
    <w:rsid w:val="007650BB"/>
    <w:rsid w:val="007654DF"/>
    <w:rsid w:val="0076695F"/>
    <w:rsid w:val="00766B17"/>
    <w:rsid w:val="00767144"/>
    <w:rsid w:val="00770560"/>
    <w:rsid w:val="0077125B"/>
    <w:rsid w:val="00771876"/>
    <w:rsid w:val="0077345C"/>
    <w:rsid w:val="00774468"/>
    <w:rsid w:val="00775CC1"/>
    <w:rsid w:val="00777413"/>
    <w:rsid w:val="00780473"/>
    <w:rsid w:val="00782212"/>
    <w:rsid w:val="007844CE"/>
    <w:rsid w:val="00786A21"/>
    <w:rsid w:val="007916C1"/>
    <w:rsid w:val="00791D4A"/>
    <w:rsid w:val="00792781"/>
    <w:rsid w:val="007936F9"/>
    <w:rsid w:val="00795D8C"/>
    <w:rsid w:val="007A1666"/>
    <w:rsid w:val="007A1DB4"/>
    <w:rsid w:val="007A38B6"/>
    <w:rsid w:val="007A3CE5"/>
    <w:rsid w:val="007A4D39"/>
    <w:rsid w:val="007A5EBE"/>
    <w:rsid w:val="007A6B09"/>
    <w:rsid w:val="007A6B51"/>
    <w:rsid w:val="007B1520"/>
    <w:rsid w:val="007B2BD3"/>
    <w:rsid w:val="007B3DDD"/>
    <w:rsid w:val="007B5589"/>
    <w:rsid w:val="007B621B"/>
    <w:rsid w:val="007B6AEF"/>
    <w:rsid w:val="007B7B15"/>
    <w:rsid w:val="007C11DD"/>
    <w:rsid w:val="007C11FF"/>
    <w:rsid w:val="007C177F"/>
    <w:rsid w:val="007C284D"/>
    <w:rsid w:val="007C49E5"/>
    <w:rsid w:val="007C517D"/>
    <w:rsid w:val="007C7B91"/>
    <w:rsid w:val="007C7CAB"/>
    <w:rsid w:val="007D02E5"/>
    <w:rsid w:val="007D0B6E"/>
    <w:rsid w:val="007D29B1"/>
    <w:rsid w:val="007D3BAF"/>
    <w:rsid w:val="007D588A"/>
    <w:rsid w:val="007D7A67"/>
    <w:rsid w:val="007E1863"/>
    <w:rsid w:val="007E1F22"/>
    <w:rsid w:val="007E34E8"/>
    <w:rsid w:val="007E3A7E"/>
    <w:rsid w:val="007E6162"/>
    <w:rsid w:val="007E7CDF"/>
    <w:rsid w:val="007E7FCF"/>
    <w:rsid w:val="007F196C"/>
    <w:rsid w:val="007F4827"/>
    <w:rsid w:val="00803F79"/>
    <w:rsid w:val="008049D2"/>
    <w:rsid w:val="00805372"/>
    <w:rsid w:val="008133E9"/>
    <w:rsid w:val="00813F03"/>
    <w:rsid w:val="00814BF3"/>
    <w:rsid w:val="00815851"/>
    <w:rsid w:val="0082012A"/>
    <w:rsid w:val="0082029C"/>
    <w:rsid w:val="0082520F"/>
    <w:rsid w:val="008257EC"/>
    <w:rsid w:val="00826DA1"/>
    <w:rsid w:val="00827F23"/>
    <w:rsid w:val="00830688"/>
    <w:rsid w:val="0083153F"/>
    <w:rsid w:val="00832595"/>
    <w:rsid w:val="0083284B"/>
    <w:rsid w:val="00834153"/>
    <w:rsid w:val="00837623"/>
    <w:rsid w:val="0084009F"/>
    <w:rsid w:val="00844B6B"/>
    <w:rsid w:val="008460A9"/>
    <w:rsid w:val="00846BF8"/>
    <w:rsid w:val="00851E46"/>
    <w:rsid w:val="00854105"/>
    <w:rsid w:val="008553CA"/>
    <w:rsid w:val="00856919"/>
    <w:rsid w:val="008571E8"/>
    <w:rsid w:val="00857EA4"/>
    <w:rsid w:val="00860873"/>
    <w:rsid w:val="00860CE5"/>
    <w:rsid w:val="008626C4"/>
    <w:rsid w:val="0086476E"/>
    <w:rsid w:val="00866F2C"/>
    <w:rsid w:val="008678CD"/>
    <w:rsid w:val="0087138F"/>
    <w:rsid w:val="008722A4"/>
    <w:rsid w:val="00874E9D"/>
    <w:rsid w:val="008768F6"/>
    <w:rsid w:val="00876B2C"/>
    <w:rsid w:val="00880C9A"/>
    <w:rsid w:val="008834D6"/>
    <w:rsid w:val="00884330"/>
    <w:rsid w:val="0088449E"/>
    <w:rsid w:val="00884BB8"/>
    <w:rsid w:val="00887D65"/>
    <w:rsid w:val="0089019F"/>
    <w:rsid w:val="00890F43"/>
    <w:rsid w:val="008911CE"/>
    <w:rsid w:val="00893D81"/>
    <w:rsid w:val="008955D0"/>
    <w:rsid w:val="00896329"/>
    <w:rsid w:val="00896E46"/>
    <w:rsid w:val="00897729"/>
    <w:rsid w:val="008A06ED"/>
    <w:rsid w:val="008A18F1"/>
    <w:rsid w:val="008A4C99"/>
    <w:rsid w:val="008A5304"/>
    <w:rsid w:val="008A5377"/>
    <w:rsid w:val="008A5556"/>
    <w:rsid w:val="008A6202"/>
    <w:rsid w:val="008B109F"/>
    <w:rsid w:val="008B12E0"/>
    <w:rsid w:val="008B3862"/>
    <w:rsid w:val="008B5549"/>
    <w:rsid w:val="008B5B28"/>
    <w:rsid w:val="008C1A1A"/>
    <w:rsid w:val="008C57F8"/>
    <w:rsid w:val="008C5B23"/>
    <w:rsid w:val="008C6193"/>
    <w:rsid w:val="008C6333"/>
    <w:rsid w:val="008C6A7F"/>
    <w:rsid w:val="008C7263"/>
    <w:rsid w:val="008D10E0"/>
    <w:rsid w:val="008D33D8"/>
    <w:rsid w:val="008D3B12"/>
    <w:rsid w:val="008D3E21"/>
    <w:rsid w:val="008D44EF"/>
    <w:rsid w:val="008D5C87"/>
    <w:rsid w:val="008E696F"/>
    <w:rsid w:val="008E69C8"/>
    <w:rsid w:val="008E6B7D"/>
    <w:rsid w:val="008F18C6"/>
    <w:rsid w:val="008F3469"/>
    <w:rsid w:val="008F4948"/>
    <w:rsid w:val="008F4C40"/>
    <w:rsid w:val="008F523E"/>
    <w:rsid w:val="008F6F59"/>
    <w:rsid w:val="00900331"/>
    <w:rsid w:val="00902377"/>
    <w:rsid w:val="00903EC2"/>
    <w:rsid w:val="00904FB0"/>
    <w:rsid w:val="009068A6"/>
    <w:rsid w:val="009068CE"/>
    <w:rsid w:val="00906BA1"/>
    <w:rsid w:val="00907504"/>
    <w:rsid w:val="00907E1F"/>
    <w:rsid w:val="00910AE5"/>
    <w:rsid w:val="00910CC3"/>
    <w:rsid w:val="00911A5A"/>
    <w:rsid w:val="0091797E"/>
    <w:rsid w:val="00921F7F"/>
    <w:rsid w:val="00923570"/>
    <w:rsid w:val="00923920"/>
    <w:rsid w:val="00925EE2"/>
    <w:rsid w:val="0092748B"/>
    <w:rsid w:val="00931CDA"/>
    <w:rsid w:val="00932FEC"/>
    <w:rsid w:val="0093335D"/>
    <w:rsid w:val="00935A81"/>
    <w:rsid w:val="00937052"/>
    <w:rsid w:val="009374EB"/>
    <w:rsid w:val="00941E0E"/>
    <w:rsid w:val="009450EB"/>
    <w:rsid w:val="00947656"/>
    <w:rsid w:val="00950C41"/>
    <w:rsid w:val="009622AD"/>
    <w:rsid w:val="00962F1D"/>
    <w:rsid w:val="0096768D"/>
    <w:rsid w:val="009712EE"/>
    <w:rsid w:val="00971D5C"/>
    <w:rsid w:val="00972C99"/>
    <w:rsid w:val="00972ECA"/>
    <w:rsid w:val="00974074"/>
    <w:rsid w:val="009828C5"/>
    <w:rsid w:val="00982EB2"/>
    <w:rsid w:val="00984845"/>
    <w:rsid w:val="00985C24"/>
    <w:rsid w:val="0098627B"/>
    <w:rsid w:val="009868C6"/>
    <w:rsid w:val="00993F30"/>
    <w:rsid w:val="009961EB"/>
    <w:rsid w:val="00996231"/>
    <w:rsid w:val="0099643B"/>
    <w:rsid w:val="00997C68"/>
    <w:rsid w:val="009A2E82"/>
    <w:rsid w:val="009A59E9"/>
    <w:rsid w:val="009A6CF9"/>
    <w:rsid w:val="009B47C7"/>
    <w:rsid w:val="009B4DE1"/>
    <w:rsid w:val="009B6805"/>
    <w:rsid w:val="009C19A2"/>
    <w:rsid w:val="009C619C"/>
    <w:rsid w:val="009C6E1E"/>
    <w:rsid w:val="009C76F5"/>
    <w:rsid w:val="009D0744"/>
    <w:rsid w:val="009D6DDC"/>
    <w:rsid w:val="009D76C6"/>
    <w:rsid w:val="009D77BC"/>
    <w:rsid w:val="009D787E"/>
    <w:rsid w:val="009E0057"/>
    <w:rsid w:val="009E2C8E"/>
    <w:rsid w:val="009E4981"/>
    <w:rsid w:val="009E4D08"/>
    <w:rsid w:val="009E63D8"/>
    <w:rsid w:val="009E69DB"/>
    <w:rsid w:val="009F1ACD"/>
    <w:rsid w:val="009F20A7"/>
    <w:rsid w:val="009F371C"/>
    <w:rsid w:val="009F73A7"/>
    <w:rsid w:val="009F7825"/>
    <w:rsid w:val="009F7CAB"/>
    <w:rsid w:val="00A070E9"/>
    <w:rsid w:val="00A07A7C"/>
    <w:rsid w:val="00A07F7D"/>
    <w:rsid w:val="00A10A23"/>
    <w:rsid w:val="00A11138"/>
    <w:rsid w:val="00A12C3D"/>
    <w:rsid w:val="00A138C1"/>
    <w:rsid w:val="00A1395A"/>
    <w:rsid w:val="00A14E83"/>
    <w:rsid w:val="00A154DB"/>
    <w:rsid w:val="00A162DD"/>
    <w:rsid w:val="00A20212"/>
    <w:rsid w:val="00A2081C"/>
    <w:rsid w:val="00A240C6"/>
    <w:rsid w:val="00A24571"/>
    <w:rsid w:val="00A26093"/>
    <w:rsid w:val="00A3258B"/>
    <w:rsid w:val="00A335FE"/>
    <w:rsid w:val="00A34165"/>
    <w:rsid w:val="00A34B02"/>
    <w:rsid w:val="00A35BAB"/>
    <w:rsid w:val="00A37B8C"/>
    <w:rsid w:val="00A40C9A"/>
    <w:rsid w:val="00A411C4"/>
    <w:rsid w:val="00A43813"/>
    <w:rsid w:val="00A444F9"/>
    <w:rsid w:val="00A45A29"/>
    <w:rsid w:val="00A5035B"/>
    <w:rsid w:val="00A51C06"/>
    <w:rsid w:val="00A541CC"/>
    <w:rsid w:val="00A55D40"/>
    <w:rsid w:val="00A57B57"/>
    <w:rsid w:val="00A61CB3"/>
    <w:rsid w:val="00A6307D"/>
    <w:rsid w:val="00A71F9D"/>
    <w:rsid w:val="00A72402"/>
    <w:rsid w:val="00A73ADD"/>
    <w:rsid w:val="00A74DC7"/>
    <w:rsid w:val="00A7543D"/>
    <w:rsid w:val="00A8251E"/>
    <w:rsid w:val="00A8280B"/>
    <w:rsid w:val="00A8458F"/>
    <w:rsid w:val="00A9084E"/>
    <w:rsid w:val="00A91230"/>
    <w:rsid w:val="00A924B9"/>
    <w:rsid w:val="00A92878"/>
    <w:rsid w:val="00A929E7"/>
    <w:rsid w:val="00A9313B"/>
    <w:rsid w:val="00A97709"/>
    <w:rsid w:val="00AA0C3B"/>
    <w:rsid w:val="00AA1EB3"/>
    <w:rsid w:val="00AA52AC"/>
    <w:rsid w:val="00AA6F1D"/>
    <w:rsid w:val="00AA74B7"/>
    <w:rsid w:val="00AB0CEE"/>
    <w:rsid w:val="00AB5C7F"/>
    <w:rsid w:val="00AC4639"/>
    <w:rsid w:val="00AC5301"/>
    <w:rsid w:val="00AC5781"/>
    <w:rsid w:val="00AC7FDD"/>
    <w:rsid w:val="00AD39D4"/>
    <w:rsid w:val="00AD469A"/>
    <w:rsid w:val="00AD630B"/>
    <w:rsid w:val="00AE215B"/>
    <w:rsid w:val="00AE2952"/>
    <w:rsid w:val="00AE36C9"/>
    <w:rsid w:val="00AE49DC"/>
    <w:rsid w:val="00AE5ECF"/>
    <w:rsid w:val="00AE7C27"/>
    <w:rsid w:val="00AF1BB8"/>
    <w:rsid w:val="00AF497B"/>
    <w:rsid w:val="00AF4FB6"/>
    <w:rsid w:val="00AF5764"/>
    <w:rsid w:val="00AF6688"/>
    <w:rsid w:val="00B00205"/>
    <w:rsid w:val="00B00C31"/>
    <w:rsid w:val="00B02B74"/>
    <w:rsid w:val="00B02ECE"/>
    <w:rsid w:val="00B03369"/>
    <w:rsid w:val="00B03D42"/>
    <w:rsid w:val="00B045C2"/>
    <w:rsid w:val="00B05898"/>
    <w:rsid w:val="00B06B16"/>
    <w:rsid w:val="00B11B92"/>
    <w:rsid w:val="00B161B7"/>
    <w:rsid w:val="00B22225"/>
    <w:rsid w:val="00B256BB"/>
    <w:rsid w:val="00B3220D"/>
    <w:rsid w:val="00B32D85"/>
    <w:rsid w:val="00B348FC"/>
    <w:rsid w:val="00B34E26"/>
    <w:rsid w:val="00B3619C"/>
    <w:rsid w:val="00B4031E"/>
    <w:rsid w:val="00B40A3C"/>
    <w:rsid w:val="00B41007"/>
    <w:rsid w:val="00B41F1E"/>
    <w:rsid w:val="00B47521"/>
    <w:rsid w:val="00B52B76"/>
    <w:rsid w:val="00B53687"/>
    <w:rsid w:val="00B53DC3"/>
    <w:rsid w:val="00B53F33"/>
    <w:rsid w:val="00B5453C"/>
    <w:rsid w:val="00B54BF1"/>
    <w:rsid w:val="00B54E5A"/>
    <w:rsid w:val="00B55DD1"/>
    <w:rsid w:val="00B57FE2"/>
    <w:rsid w:val="00B70A86"/>
    <w:rsid w:val="00B70F08"/>
    <w:rsid w:val="00B70F44"/>
    <w:rsid w:val="00B7161B"/>
    <w:rsid w:val="00B720DD"/>
    <w:rsid w:val="00B75073"/>
    <w:rsid w:val="00B771A1"/>
    <w:rsid w:val="00B77807"/>
    <w:rsid w:val="00B81586"/>
    <w:rsid w:val="00B823BC"/>
    <w:rsid w:val="00B82FA3"/>
    <w:rsid w:val="00B837D6"/>
    <w:rsid w:val="00B839CA"/>
    <w:rsid w:val="00B83FCC"/>
    <w:rsid w:val="00B84210"/>
    <w:rsid w:val="00B85FBE"/>
    <w:rsid w:val="00B8680E"/>
    <w:rsid w:val="00B92273"/>
    <w:rsid w:val="00B936C1"/>
    <w:rsid w:val="00BA1B5A"/>
    <w:rsid w:val="00BA2CD5"/>
    <w:rsid w:val="00BA7525"/>
    <w:rsid w:val="00BB21A0"/>
    <w:rsid w:val="00BB4637"/>
    <w:rsid w:val="00BB6ED6"/>
    <w:rsid w:val="00BC22D9"/>
    <w:rsid w:val="00BC2347"/>
    <w:rsid w:val="00BC2C2E"/>
    <w:rsid w:val="00BC6906"/>
    <w:rsid w:val="00BC7755"/>
    <w:rsid w:val="00BD0506"/>
    <w:rsid w:val="00BD20C8"/>
    <w:rsid w:val="00BD252E"/>
    <w:rsid w:val="00BD3971"/>
    <w:rsid w:val="00BD491C"/>
    <w:rsid w:val="00BE0DD3"/>
    <w:rsid w:val="00BE3BA0"/>
    <w:rsid w:val="00BF0308"/>
    <w:rsid w:val="00BF0FE7"/>
    <w:rsid w:val="00BF2569"/>
    <w:rsid w:val="00BF3C24"/>
    <w:rsid w:val="00BF6217"/>
    <w:rsid w:val="00C00F1A"/>
    <w:rsid w:val="00C03E3A"/>
    <w:rsid w:val="00C04459"/>
    <w:rsid w:val="00C0577D"/>
    <w:rsid w:val="00C05DDA"/>
    <w:rsid w:val="00C078A5"/>
    <w:rsid w:val="00C10237"/>
    <w:rsid w:val="00C11609"/>
    <w:rsid w:val="00C12E47"/>
    <w:rsid w:val="00C140FB"/>
    <w:rsid w:val="00C22F18"/>
    <w:rsid w:val="00C23908"/>
    <w:rsid w:val="00C25BEF"/>
    <w:rsid w:val="00C25D90"/>
    <w:rsid w:val="00C27CF3"/>
    <w:rsid w:val="00C27E95"/>
    <w:rsid w:val="00C307D5"/>
    <w:rsid w:val="00C321DB"/>
    <w:rsid w:val="00C32216"/>
    <w:rsid w:val="00C34C21"/>
    <w:rsid w:val="00C35A0C"/>
    <w:rsid w:val="00C35EB6"/>
    <w:rsid w:val="00C37DEC"/>
    <w:rsid w:val="00C40423"/>
    <w:rsid w:val="00C40602"/>
    <w:rsid w:val="00C41243"/>
    <w:rsid w:val="00C426FD"/>
    <w:rsid w:val="00C429DD"/>
    <w:rsid w:val="00C462AF"/>
    <w:rsid w:val="00C46EA1"/>
    <w:rsid w:val="00C4789A"/>
    <w:rsid w:val="00C47B39"/>
    <w:rsid w:val="00C513A2"/>
    <w:rsid w:val="00C51E59"/>
    <w:rsid w:val="00C52827"/>
    <w:rsid w:val="00C53ED9"/>
    <w:rsid w:val="00C564F6"/>
    <w:rsid w:val="00C56B09"/>
    <w:rsid w:val="00C62928"/>
    <w:rsid w:val="00C62DB9"/>
    <w:rsid w:val="00C664CA"/>
    <w:rsid w:val="00C66C76"/>
    <w:rsid w:val="00C67838"/>
    <w:rsid w:val="00C67A65"/>
    <w:rsid w:val="00C73A40"/>
    <w:rsid w:val="00C73F50"/>
    <w:rsid w:val="00C74C3A"/>
    <w:rsid w:val="00C75EF9"/>
    <w:rsid w:val="00C80991"/>
    <w:rsid w:val="00C8196E"/>
    <w:rsid w:val="00C81CA0"/>
    <w:rsid w:val="00C840BA"/>
    <w:rsid w:val="00C8506A"/>
    <w:rsid w:val="00C85941"/>
    <w:rsid w:val="00C861F9"/>
    <w:rsid w:val="00C865F5"/>
    <w:rsid w:val="00C91C3E"/>
    <w:rsid w:val="00C92584"/>
    <w:rsid w:val="00C93BCB"/>
    <w:rsid w:val="00C95EDD"/>
    <w:rsid w:val="00C976B5"/>
    <w:rsid w:val="00CA1C1B"/>
    <w:rsid w:val="00CB13BC"/>
    <w:rsid w:val="00CB34E3"/>
    <w:rsid w:val="00CB471C"/>
    <w:rsid w:val="00CB4BE7"/>
    <w:rsid w:val="00CB6DD8"/>
    <w:rsid w:val="00CC0342"/>
    <w:rsid w:val="00CC1719"/>
    <w:rsid w:val="00CC186D"/>
    <w:rsid w:val="00CC30E5"/>
    <w:rsid w:val="00CC42DC"/>
    <w:rsid w:val="00CC5EA6"/>
    <w:rsid w:val="00CC62CA"/>
    <w:rsid w:val="00CD381D"/>
    <w:rsid w:val="00CD491E"/>
    <w:rsid w:val="00CD6A2E"/>
    <w:rsid w:val="00CD6E76"/>
    <w:rsid w:val="00CE0567"/>
    <w:rsid w:val="00CE0837"/>
    <w:rsid w:val="00CE125B"/>
    <w:rsid w:val="00CE4F87"/>
    <w:rsid w:val="00CE557B"/>
    <w:rsid w:val="00CF0877"/>
    <w:rsid w:val="00CF1672"/>
    <w:rsid w:val="00CF178C"/>
    <w:rsid w:val="00CF4096"/>
    <w:rsid w:val="00CF6611"/>
    <w:rsid w:val="00CF6D4E"/>
    <w:rsid w:val="00D001EF"/>
    <w:rsid w:val="00D0064D"/>
    <w:rsid w:val="00D024C9"/>
    <w:rsid w:val="00D0316C"/>
    <w:rsid w:val="00D050D9"/>
    <w:rsid w:val="00D062AB"/>
    <w:rsid w:val="00D06320"/>
    <w:rsid w:val="00D06D08"/>
    <w:rsid w:val="00D12C44"/>
    <w:rsid w:val="00D132F6"/>
    <w:rsid w:val="00D13F92"/>
    <w:rsid w:val="00D15A94"/>
    <w:rsid w:val="00D167D4"/>
    <w:rsid w:val="00D21107"/>
    <w:rsid w:val="00D22E32"/>
    <w:rsid w:val="00D26C82"/>
    <w:rsid w:val="00D27F0D"/>
    <w:rsid w:val="00D31E80"/>
    <w:rsid w:val="00D322A4"/>
    <w:rsid w:val="00D3273A"/>
    <w:rsid w:val="00D32AEC"/>
    <w:rsid w:val="00D32F30"/>
    <w:rsid w:val="00D33AA1"/>
    <w:rsid w:val="00D3453E"/>
    <w:rsid w:val="00D34B80"/>
    <w:rsid w:val="00D36B63"/>
    <w:rsid w:val="00D37413"/>
    <w:rsid w:val="00D4175C"/>
    <w:rsid w:val="00D421D6"/>
    <w:rsid w:val="00D43196"/>
    <w:rsid w:val="00D440A8"/>
    <w:rsid w:val="00D457BC"/>
    <w:rsid w:val="00D50C1B"/>
    <w:rsid w:val="00D525D6"/>
    <w:rsid w:val="00D52877"/>
    <w:rsid w:val="00D5323F"/>
    <w:rsid w:val="00D5368C"/>
    <w:rsid w:val="00D62A3A"/>
    <w:rsid w:val="00D6321E"/>
    <w:rsid w:val="00D635F0"/>
    <w:rsid w:val="00D63F3A"/>
    <w:rsid w:val="00D65383"/>
    <w:rsid w:val="00D65A6D"/>
    <w:rsid w:val="00D71F55"/>
    <w:rsid w:val="00D72D99"/>
    <w:rsid w:val="00D72F38"/>
    <w:rsid w:val="00D730E8"/>
    <w:rsid w:val="00D7521F"/>
    <w:rsid w:val="00D761E7"/>
    <w:rsid w:val="00D80EF3"/>
    <w:rsid w:val="00D85FC7"/>
    <w:rsid w:val="00D862AF"/>
    <w:rsid w:val="00D867ED"/>
    <w:rsid w:val="00D900FA"/>
    <w:rsid w:val="00D919F8"/>
    <w:rsid w:val="00D922F2"/>
    <w:rsid w:val="00D95A95"/>
    <w:rsid w:val="00DA2C97"/>
    <w:rsid w:val="00DA486B"/>
    <w:rsid w:val="00DB036C"/>
    <w:rsid w:val="00DB1D35"/>
    <w:rsid w:val="00DB56A9"/>
    <w:rsid w:val="00DB7C84"/>
    <w:rsid w:val="00DC0119"/>
    <w:rsid w:val="00DC0983"/>
    <w:rsid w:val="00DC14D4"/>
    <w:rsid w:val="00DC2795"/>
    <w:rsid w:val="00DC2799"/>
    <w:rsid w:val="00DC2CE4"/>
    <w:rsid w:val="00DC4319"/>
    <w:rsid w:val="00DC45FA"/>
    <w:rsid w:val="00DC580B"/>
    <w:rsid w:val="00DC7D72"/>
    <w:rsid w:val="00DD2E86"/>
    <w:rsid w:val="00DE2C3B"/>
    <w:rsid w:val="00DE3C80"/>
    <w:rsid w:val="00DE5287"/>
    <w:rsid w:val="00DE5EB6"/>
    <w:rsid w:val="00DE6681"/>
    <w:rsid w:val="00DE6D42"/>
    <w:rsid w:val="00DE7F2C"/>
    <w:rsid w:val="00DF339D"/>
    <w:rsid w:val="00DF39F6"/>
    <w:rsid w:val="00DF3ACF"/>
    <w:rsid w:val="00DF47E3"/>
    <w:rsid w:val="00DF4803"/>
    <w:rsid w:val="00DF5030"/>
    <w:rsid w:val="00DF691E"/>
    <w:rsid w:val="00E01A69"/>
    <w:rsid w:val="00E01AF4"/>
    <w:rsid w:val="00E04F74"/>
    <w:rsid w:val="00E05C61"/>
    <w:rsid w:val="00E06AAC"/>
    <w:rsid w:val="00E105E3"/>
    <w:rsid w:val="00E115E8"/>
    <w:rsid w:val="00E11CF1"/>
    <w:rsid w:val="00E140E0"/>
    <w:rsid w:val="00E148B6"/>
    <w:rsid w:val="00E15019"/>
    <w:rsid w:val="00E1670B"/>
    <w:rsid w:val="00E177EA"/>
    <w:rsid w:val="00E17C4F"/>
    <w:rsid w:val="00E220CB"/>
    <w:rsid w:val="00E23102"/>
    <w:rsid w:val="00E241E1"/>
    <w:rsid w:val="00E246AF"/>
    <w:rsid w:val="00E252DE"/>
    <w:rsid w:val="00E25AB6"/>
    <w:rsid w:val="00E26DC2"/>
    <w:rsid w:val="00E270BD"/>
    <w:rsid w:val="00E336D2"/>
    <w:rsid w:val="00E3421B"/>
    <w:rsid w:val="00E34D38"/>
    <w:rsid w:val="00E377C1"/>
    <w:rsid w:val="00E37F04"/>
    <w:rsid w:val="00E37FA6"/>
    <w:rsid w:val="00E402D0"/>
    <w:rsid w:val="00E423FB"/>
    <w:rsid w:val="00E429E0"/>
    <w:rsid w:val="00E42B9B"/>
    <w:rsid w:val="00E4525E"/>
    <w:rsid w:val="00E507CE"/>
    <w:rsid w:val="00E50CA9"/>
    <w:rsid w:val="00E5195A"/>
    <w:rsid w:val="00E52A61"/>
    <w:rsid w:val="00E53A8E"/>
    <w:rsid w:val="00E54B67"/>
    <w:rsid w:val="00E60A22"/>
    <w:rsid w:val="00E63767"/>
    <w:rsid w:val="00E6655E"/>
    <w:rsid w:val="00E67225"/>
    <w:rsid w:val="00E73BF1"/>
    <w:rsid w:val="00E75764"/>
    <w:rsid w:val="00E766F3"/>
    <w:rsid w:val="00E7670A"/>
    <w:rsid w:val="00E801EC"/>
    <w:rsid w:val="00E8250D"/>
    <w:rsid w:val="00E87563"/>
    <w:rsid w:val="00E90DB4"/>
    <w:rsid w:val="00E91C33"/>
    <w:rsid w:val="00E92BDD"/>
    <w:rsid w:val="00E961FB"/>
    <w:rsid w:val="00E96A05"/>
    <w:rsid w:val="00EA05DF"/>
    <w:rsid w:val="00EA0CB5"/>
    <w:rsid w:val="00EA112B"/>
    <w:rsid w:val="00EA2A2A"/>
    <w:rsid w:val="00EA4173"/>
    <w:rsid w:val="00EA567A"/>
    <w:rsid w:val="00EA60FA"/>
    <w:rsid w:val="00EB09B5"/>
    <w:rsid w:val="00EB11F2"/>
    <w:rsid w:val="00EB1AF7"/>
    <w:rsid w:val="00EB2423"/>
    <w:rsid w:val="00EB24AB"/>
    <w:rsid w:val="00EB3104"/>
    <w:rsid w:val="00EB38B6"/>
    <w:rsid w:val="00EB4152"/>
    <w:rsid w:val="00EB629B"/>
    <w:rsid w:val="00EC0A97"/>
    <w:rsid w:val="00EC0CDA"/>
    <w:rsid w:val="00EC2DE7"/>
    <w:rsid w:val="00EC3652"/>
    <w:rsid w:val="00ED21AA"/>
    <w:rsid w:val="00ED3882"/>
    <w:rsid w:val="00ED5AA1"/>
    <w:rsid w:val="00ED5EFF"/>
    <w:rsid w:val="00EE0916"/>
    <w:rsid w:val="00EE1CBD"/>
    <w:rsid w:val="00EE22FA"/>
    <w:rsid w:val="00EE2A8C"/>
    <w:rsid w:val="00EE575E"/>
    <w:rsid w:val="00EE7C05"/>
    <w:rsid w:val="00EF080A"/>
    <w:rsid w:val="00EF1856"/>
    <w:rsid w:val="00EF4819"/>
    <w:rsid w:val="00EF5A50"/>
    <w:rsid w:val="00EF6193"/>
    <w:rsid w:val="00EF6A78"/>
    <w:rsid w:val="00EF7C91"/>
    <w:rsid w:val="00F000B3"/>
    <w:rsid w:val="00F00E68"/>
    <w:rsid w:val="00F014D1"/>
    <w:rsid w:val="00F0300F"/>
    <w:rsid w:val="00F033A7"/>
    <w:rsid w:val="00F05EB0"/>
    <w:rsid w:val="00F068AD"/>
    <w:rsid w:val="00F10E07"/>
    <w:rsid w:val="00F127CB"/>
    <w:rsid w:val="00F14174"/>
    <w:rsid w:val="00F1492C"/>
    <w:rsid w:val="00F1691E"/>
    <w:rsid w:val="00F172C7"/>
    <w:rsid w:val="00F2243B"/>
    <w:rsid w:val="00F275D8"/>
    <w:rsid w:val="00F27BD7"/>
    <w:rsid w:val="00F30E19"/>
    <w:rsid w:val="00F325B5"/>
    <w:rsid w:val="00F33829"/>
    <w:rsid w:val="00F341B5"/>
    <w:rsid w:val="00F358B8"/>
    <w:rsid w:val="00F37635"/>
    <w:rsid w:val="00F3771A"/>
    <w:rsid w:val="00F377A4"/>
    <w:rsid w:val="00F41107"/>
    <w:rsid w:val="00F41833"/>
    <w:rsid w:val="00F427D5"/>
    <w:rsid w:val="00F46E2A"/>
    <w:rsid w:val="00F47E30"/>
    <w:rsid w:val="00F50A1C"/>
    <w:rsid w:val="00F50A8C"/>
    <w:rsid w:val="00F517E9"/>
    <w:rsid w:val="00F527A7"/>
    <w:rsid w:val="00F54351"/>
    <w:rsid w:val="00F5455D"/>
    <w:rsid w:val="00F54C73"/>
    <w:rsid w:val="00F56381"/>
    <w:rsid w:val="00F57971"/>
    <w:rsid w:val="00F63885"/>
    <w:rsid w:val="00F64970"/>
    <w:rsid w:val="00F64E6F"/>
    <w:rsid w:val="00F65644"/>
    <w:rsid w:val="00F65A0C"/>
    <w:rsid w:val="00F65C14"/>
    <w:rsid w:val="00F660E6"/>
    <w:rsid w:val="00F700BE"/>
    <w:rsid w:val="00F71EB1"/>
    <w:rsid w:val="00F73DC2"/>
    <w:rsid w:val="00F74B4B"/>
    <w:rsid w:val="00F74BB9"/>
    <w:rsid w:val="00F760D5"/>
    <w:rsid w:val="00F8017C"/>
    <w:rsid w:val="00F80E81"/>
    <w:rsid w:val="00F82BC5"/>
    <w:rsid w:val="00F838CD"/>
    <w:rsid w:val="00F84A36"/>
    <w:rsid w:val="00F84B28"/>
    <w:rsid w:val="00F854DD"/>
    <w:rsid w:val="00F87115"/>
    <w:rsid w:val="00F8751F"/>
    <w:rsid w:val="00F908DC"/>
    <w:rsid w:val="00F909F8"/>
    <w:rsid w:val="00F91A83"/>
    <w:rsid w:val="00F92228"/>
    <w:rsid w:val="00F93A21"/>
    <w:rsid w:val="00F93ABC"/>
    <w:rsid w:val="00F94FCC"/>
    <w:rsid w:val="00F9548B"/>
    <w:rsid w:val="00F95608"/>
    <w:rsid w:val="00F957D8"/>
    <w:rsid w:val="00F969CB"/>
    <w:rsid w:val="00FA39F6"/>
    <w:rsid w:val="00FA546F"/>
    <w:rsid w:val="00FA5C54"/>
    <w:rsid w:val="00FA75FB"/>
    <w:rsid w:val="00FA7776"/>
    <w:rsid w:val="00FB16BE"/>
    <w:rsid w:val="00FB1E14"/>
    <w:rsid w:val="00FC0258"/>
    <w:rsid w:val="00FC0BEF"/>
    <w:rsid w:val="00FC1393"/>
    <w:rsid w:val="00FC13E2"/>
    <w:rsid w:val="00FC2D1A"/>
    <w:rsid w:val="00FC34F6"/>
    <w:rsid w:val="00FC3DF8"/>
    <w:rsid w:val="00FC4300"/>
    <w:rsid w:val="00FC5E72"/>
    <w:rsid w:val="00FC6478"/>
    <w:rsid w:val="00FD214B"/>
    <w:rsid w:val="00FD309A"/>
    <w:rsid w:val="00FD63EC"/>
    <w:rsid w:val="00FD6A6C"/>
    <w:rsid w:val="00FE0206"/>
    <w:rsid w:val="00FE0612"/>
    <w:rsid w:val="00FE0BF4"/>
    <w:rsid w:val="00FE2814"/>
    <w:rsid w:val="00FE3021"/>
    <w:rsid w:val="00FE37A8"/>
    <w:rsid w:val="00FE4A12"/>
    <w:rsid w:val="00FE5C46"/>
    <w:rsid w:val="00FF266E"/>
    <w:rsid w:val="00FF429A"/>
    <w:rsid w:val="00FF6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AAD11E"/>
  <w15:docId w15:val="{6428D6E4-B18B-45EE-B334-3CC603F9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609"/>
  </w:style>
  <w:style w:type="paragraph" w:styleId="Heading1">
    <w:name w:val="heading 1"/>
    <w:basedOn w:val="Normal"/>
    <w:next w:val="Normal"/>
    <w:link w:val="Heading1Char"/>
    <w:autoRedefine/>
    <w:uiPriority w:val="9"/>
    <w:qFormat/>
    <w:rsid w:val="009C19A2"/>
    <w:pPr>
      <w:keepNext/>
      <w:keepLines/>
      <w:numPr>
        <w:numId w:val="17"/>
      </w:numPr>
      <w:ind w:left="45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579A9"/>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5020ED"/>
    <w:pPr>
      <w:keepNext/>
      <w:keepLines/>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9A2"/>
    <w:rPr>
      <w:rFonts w:eastAsiaTheme="majorEastAsia" w:cstheme="majorBidi"/>
      <w:b/>
      <w:szCs w:val="32"/>
    </w:rPr>
  </w:style>
  <w:style w:type="character" w:customStyle="1" w:styleId="Heading2Char">
    <w:name w:val="Heading 2 Char"/>
    <w:basedOn w:val="DefaultParagraphFont"/>
    <w:link w:val="Heading2"/>
    <w:uiPriority w:val="9"/>
    <w:rsid w:val="003579A9"/>
    <w:rPr>
      <w:rFonts w:eastAsiaTheme="majorEastAsia" w:cstheme="majorBidi"/>
      <w:b/>
      <w:color w:val="000000" w:themeColor="text1"/>
      <w:szCs w:val="26"/>
    </w:rPr>
  </w:style>
  <w:style w:type="paragraph" w:styleId="Title">
    <w:name w:val="Title"/>
    <w:basedOn w:val="Normal"/>
    <w:next w:val="Normal"/>
    <w:link w:val="TitleChar"/>
    <w:autoRedefine/>
    <w:uiPriority w:val="10"/>
    <w:qFormat/>
    <w:rsid w:val="005020ED"/>
    <w:pPr>
      <w:contextualSpacing/>
      <w:jc w:val="center"/>
    </w:pPr>
    <w:rPr>
      <w:rFonts w:eastAsiaTheme="majorEastAsia" w:cstheme="majorBidi"/>
      <w:b/>
      <w:szCs w:val="56"/>
    </w:rPr>
  </w:style>
  <w:style w:type="character" w:customStyle="1" w:styleId="TitleChar">
    <w:name w:val="Title Char"/>
    <w:basedOn w:val="DefaultParagraphFont"/>
    <w:link w:val="Title"/>
    <w:uiPriority w:val="10"/>
    <w:rsid w:val="005020ED"/>
    <w:rPr>
      <w:rFonts w:eastAsiaTheme="majorEastAsia" w:cstheme="majorBidi"/>
      <w:b/>
      <w:szCs w:val="56"/>
    </w:rPr>
  </w:style>
  <w:style w:type="paragraph" w:styleId="Subtitle">
    <w:name w:val="Subtitle"/>
    <w:basedOn w:val="Normal"/>
    <w:next w:val="Normal"/>
    <w:link w:val="SubtitleChar"/>
    <w:autoRedefine/>
    <w:uiPriority w:val="11"/>
    <w:qFormat/>
    <w:rsid w:val="005020ED"/>
    <w:pPr>
      <w:numPr>
        <w:ilvl w:val="1"/>
      </w:numPr>
      <w:contextualSpacing/>
      <w:jc w:val="center"/>
    </w:pPr>
    <w:rPr>
      <w:rFonts w:cstheme="minorBidi"/>
      <w:color w:val="5A5A5A" w:themeColor="text1" w:themeTint="A5"/>
    </w:rPr>
  </w:style>
  <w:style w:type="character" w:customStyle="1" w:styleId="SubtitleChar">
    <w:name w:val="Subtitle Char"/>
    <w:basedOn w:val="DefaultParagraphFont"/>
    <w:link w:val="Subtitle"/>
    <w:uiPriority w:val="11"/>
    <w:rsid w:val="005020ED"/>
    <w:rPr>
      <w:rFonts w:eastAsiaTheme="minorEastAsia" w:cstheme="minorBidi"/>
      <w:color w:val="5A5A5A" w:themeColor="text1" w:themeTint="A5"/>
    </w:rPr>
  </w:style>
  <w:style w:type="character" w:customStyle="1" w:styleId="Heading3Char">
    <w:name w:val="Heading 3 Char"/>
    <w:basedOn w:val="DefaultParagraphFont"/>
    <w:link w:val="Heading3"/>
    <w:uiPriority w:val="9"/>
    <w:rsid w:val="005020ED"/>
    <w:rPr>
      <w:rFonts w:eastAsiaTheme="majorEastAsia" w:cstheme="majorBidi"/>
      <w:b/>
      <w:color w:val="000000" w:themeColor="text1"/>
      <w:szCs w:val="24"/>
    </w:rPr>
  </w:style>
  <w:style w:type="paragraph" w:customStyle="1" w:styleId="Headingnumbered1">
    <w:name w:val="Heading numbered 1"/>
    <w:basedOn w:val="ListParagraph"/>
    <w:link w:val="Headingnumbered1Char"/>
    <w:qFormat/>
    <w:rsid w:val="00D26C82"/>
    <w:pPr>
      <w:numPr>
        <w:numId w:val="4"/>
      </w:numPr>
    </w:pPr>
    <w:rPr>
      <w:b/>
    </w:rPr>
  </w:style>
  <w:style w:type="character" w:customStyle="1" w:styleId="Headingnumbered1Char">
    <w:name w:val="Heading numbered 1 Char"/>
    <w:basedOn w:val="DefaultParagraphFont"/>
    <w:link w:val="Headingnumbered1"/>
    <w:rsid w:val="00D26C82"/>
    <w:rPr>
      <w:b/>
    </w:rPr>
  </w:style>
  <w:style w:type="paragraph" w:styleId="ListParagraph">
    <w:name w:val="List Paragraph"/>
    <w:basedOn w:val="Normal"/>
    <w:uiPriority w:val="34"/>
    <w:qFormat/>
    <w:rsid w:val="00D26C82"/>
    <w:pPr>
      <w:ind w:left="720"/>
      <w:contextualSpacing/>
    </w:pPr>
    <w:rPr>
      <w:rFonts w:eastAsiaTheme="minorHAnsi"/>
    </w:rPr>
  </w:style>
  <w:style w:type="paragraph" w:customStyle="1" w:styleId="Headingnumbered2">
    <w:name w:val="Heading numbered 2"/>
    <w:basedOn w:val="ListParagraph"/>
    <w:link w:val="Headingnumbered2Char"/>
    <w:qFormat/>
    <w:rsid w:val="00D26C82"/>
    <w:pPr>
      <w:numPr>
        <w:ilvl w:val="1"/>
        <w:numId w:val="4"/>
      </w:numPr>
    </w:pPr>
    <w:rPr>
      <w:b/>
    </w:rPr>
  </w:style>
  <w:style w:type="character" w:customStyle="1" w:styleId="Headingnumbered2Char">
    <w:name w:val="Heading numbered 2 Char"/>
    <w:basedOn w:val="DefaultParagraphFont"/>
    <w:link w:val="Headingnumbered2"/>
    <w:rsid w:val="00D26C82"/>
    <w:rPr>
      <w:b/>
    </w:rPr>
  </w:style>
  <w:style w:type="paragraph" w:customStyle="1" w:styleId="Headingnumbered3">
    <w:name w:val="Heading numbered 3"/>
    <w:basedOn w:val="ListParagraph"/>
    <w:link w:val="Headingnumbered3Char"/>
    <w:qFormat/>
    <w:rsid w:val="00D26C82"/>
    <w:pPr>
      <w:numPr>
        <w:ilvl w:val="2"/>
        <w:numId w:val="4"/>
      </w:numPr>
    </w:pPr>
    <w:rPr>
      <w:b/>
    </w:rPr>
  </w:style>
  <w:style w:type="character" w:customStyle="1" w:styleId="Headingnumbered3Char">
    <w:name w:val="Heading numbered 3 Char"/>
    <w:basedOn w:val="DefaultParagraphFont"/>
    <w:link w:val="Headingnumbered3"/>
    <w:rsid w:val="00D26C82"/>
    <w:rPr>
      <w:b/>
    </w:rPr>
  </w:style>
  <w:style w:type="paragraph" w:customStyle="1" w:styleId="Headingnumbered4">
    <w:name w:val="Heading numbered 4"/>
    <w:basedOn w:val="ListParagraph"/>
    <w:link w:val="Headingnumbered4Char"/>
    <w:qFormat/>
    <w:rsid w:val="00D26C82"/>
    <w:pPr>
      <w:numPr>
        <w:ilvl w:val="3"/>
        <w:numId w:val="1"/>
      </w:numPr>
    </w:pPr>
    <w:rPr>
      <w:b/>
    </w:rPr>
  </w:style>
  <w:style w:type="character" w:customStyle="1" w:styleId="Headingnumbered4Char">
    <w:name w:val="Heading numbered 4 Char"/>
    <w:basedOn w:val="DefaultParagraphFont"/>
    <w:link w:val="Headingnumbered4"/>
    <w:rsid w:val="00D26C82"/>
    <w:rPr>
      <w:b/>
    </w:rPr>
  </w:style>
  <w:style w:type="character" w:styleId="CommentReference">
    <w:name w:val="annotation reference"/>
    <w:basedOn w:val="DefaultParagraphFont"/>
    <w:uiPriority w:val="99"/>
    <w:semiHidden/>
    <w:unhideWhenUsed/>
    <w:rsid w:val="002B6875"/>
    <w:rPr>
      <w:sz w:val="16"/>
      <w:szCs w:val="16"/>
    </w:rPr>
  </w:style>
  <w:style w:type="paragraph" w:styleId="CommentText">
    <w:name w:val="annotation text"/>
    <w:basedOn w:val="Normal"/>
    <w:link w:val="CommentTextChar"/>
    <w:uiPriority w:val="99"/>
    <w:unhideWhenUsed/>
    <w:rsid w:val="002B6875"/>
    <w:pPr>
      <w:spacing w:line="240" w:lineRule="auto"/>
    </w:pPr>
    <w:rPr>
      <w:sz w:val="20"/>
      <w:szCs w:val="20"/>
    </w:rPr>
  </w:style>
  <w:style w:type="character" w:customStyle="1" w:styleId="CommentTextChar">
    <w:name w:val="Comment Text Char"/>
    <w:basedOn w:val="DefaultParagraphFont"/>
    <w:link w:val="CommentText"/>
    <w:uiPriority w:val="99"/>
    <w:rsid w:val="002B6875"/>
    <w:rPr>
      <w:rFonts w:eastAsiaTheme="minorEastAsia"/>
      <w:sz w:val="20"/>
      <w:szCs w:val="20"/>
    </w:rPr>
  </w:style>
  <w:style w:type="paragraph" w:styleId="BalloonText">
    <w:name w:val="Balloon Text"/>
    <w:basedOn w:val="Normal"/>
    <w:link w:val="BalloonTextChar"/>
    <w:uiPriority w:val="99"/>
    <w:semiHidden/>
    <w:unhideWhenUsed/>
    <w:rsid w:val="002B68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875"/>
    <w:rPr>
      <w:rFonts w:ascii="Segoe UI" w:eastAsiaTheme="minorEastAsia" w:hAnsi="Segoe UI" w:cs="Segoe UI"/>
      <w:sz w:val="18"/>
      <w:szCs w:val="18"/>
    </w:rPr>
  </w:style>
  <w:style w:type="paragraph" w:styleId="Header">
    <w:name w:val="header"/>
    <w:basedOn w:val="Normal"/>
    <w:link w:val="HeaderChar"/>
    <w:uiPriority w:val="99"/>
    <w:unhideWhenUsed/>
    <w:rsid w:val="00CB4BE7"/>
    <w:pPr>
      <w:tabs>
        <w:tab w:val="center" w:pos="4680"/>
        <w:tab w:val="right" w:pos="9360"/>
      </w:tabs>
      <w:spacing w:line="240" w:lineRule="auto"/>
    </w:pPr>
  </w:style>
  <w:style w:type="character" w:customStyle="1" w:styleId="HeaderChar">
    <w:name w:val="Header Char"/>
    <w:basedOn w:val="DefaultParagraphFont"/>
    <w:link w:val="Header"/>
    <w:uiPriority w:val="99"/>
    <w:rsid w:val="00CB4BE7"/>
  </w:style>
  <w:style w:type="paragraph" w:styleId="Footer">
    <w:name w:val="footer"/>
    <w:basedOn w:val="Normal"/>
    <w:link w:val="FooterChar"/>
    <w:uiPriority w:val="99"/>
    <w:unhideWhenUsed/>
    <w:rsid w:val="00CB4BE7"/>
    <w:pPr>
      <w:tabs>
        <w:tab w:val="center" w:pos="4680"/>
        <w:tab w:val="right" w:pos="9360"/>
      </w:tabs>
      <w:spacing w:line="240" w:lineRule="auto"/>
    </w:pPr>
  </w:style>
  <w:style w:type="character" w:customStyle="1" w:styleId="FooterChar">
    <w:name w:val="Footer Char"/>
    <w:basedOn w:val="DefaultParagraphFont"/>
    <w:link w:val="Footer"/>
    <w:uiPriority w:val="99"/>
    <w:rsid w:val="00CB4BE7"/>
  </w:style>
  <w:style w:type="character" w:styleId="Hyperlink">
    <w:name w:val="Hyperlink"/>
    <w:basedOn w:val="DefaultParagraphFont"/>
    <w:uiPriority w:val="99"/>
    <w:unhideWhenUsed/>
    <w:rsid w:val="002C5393"/>
    <w:rPr>
      <w:color w:val="0563C1" w:themeColor="hyperlink"/>
      <w:u w:val="single"/>
    </w:rPr>
  </w:style>
  <w:style w:type="paragraph" w:styleId="TOC1">
    <w:name w:val="toc 1"/>
    <w:basedOn w:val="NoSpacing"/>
    <w:next w:val="NoSpacing"/>
    <w:autoRedefine/>
    <w:uiPriority w:val="39"/>
    <w:unhideWhenUsed/>
    <w:rsid w:val="009C19A2"/>
    <w:pPr>
      <w:numPr>
        <w:numId w:val="13"/>
      </w:numPr>
      <w:tabs>
        <w:tab w:val="right" w:leader="dot" w:pos="9350"/>
      </w:tabs>
      <w:spacing w:after="100"/>
    </w:pPr>
    <w:rPr>
      <w:b/>
      <w:noProof/>
    </w:rPr>
  </w:style>
  <w:style w:type="paragraph" w:styleId="TOC2">
    <w:name w:val="toc 2"/>
    <w:basedOn w:val="NoSpacing"/>
    <w:next w:val="NoSpacing"/>
    <w:autoRedefine/>
    <w:uiPriority w:val="39"/>
    <w:unhideWhenUsed/>
    <w:rsid w:val="004C676B"/>
    <w:pPr>
      <w:spacing w:after="100"/>
      <w:ind w:left="240"/>
    </w:pPr>
  </w:style>
  <w:style w:type="paragraph" w:styleId="TOCHeading">
    <w:name w:val="TOC Heading"/>
    <w:basedOn w:val="Heading1"/>
    <w:next w:val="Normal"/>
    <w:uiPriority w:val="39"/>
    <w:unhideWhenUsed/>
    <w:qFormat/>
    <w:rsid w:val="008B5B28"/>
    <w:pPr>
      <w:spacing w:before="240" w:line="259" w:lineRule="auto"/>
      <w:outlineLvl w:val="9"/>
    </w:pPr>
    <w:rPr>
      <w:rFonts w:asciiTheme="majorHAnsi" w:hAnsiTheme="majorHAnsi"/>
      <w:b w:val="0"/>
      <w:color w:val="2E74B5" w:themeColor="accent1" w:themeShade="BF"/>
      <w:sz w:val="32"/>
    </w:rPr>
  </w:style>
  <w:style w:type="paragraph" w:styleId="NoSpacing">
    <w:name w:val="No Spacing"/>
    <w:uiPriority w:val="1"/>
    <w:qFormat/>
    <w:rsid w:val="003579A9"/>
    <w:pPr>
      <w:spacing w:line="240" w:lineRule="auto"/>
    </w:pPr>
  </w:style>
  <w:style w:type="paragraph" w:styleId="NormalWeb">
    <w:name w:val="Normal (Web)"/>
    <w:basedOn w:val="Normal"/>
    <w:uiPriority w:val="99"/>
    <w:semiHidden/>
    <w:unhideWhenUsed/>
    <w:rsid w:val="00314434"/>
    <w:pPr>
      <w:spacing w:before="100" w:beforeAutospacing="1" w:after="100" w:afterAutospacing="1" w:line="240" w:lineRule="auto"/>
    </w:pPr>
    <w:rPr>
      <w:szCs w:val="24"/>
    </w:rPr>
  </w:style>
  <w:style w:type="paragraph" w:styleId="TOC3">
    <w:name w:val="toc 3"/>
    <w:basedOn w:val="NoSpacing"/>
    <w:next w:val="NoSpacing"/>
    <w:autoRedefine/>
    <w:uiPriority w:val="39"/>
    <w:unhideWhenUsed/>
    <w:rsid w:val="004C676B"/>
    <w:pPr>
      <w:spacing w:after="100"/>
      <w:ind w:left="480"/>
    </w:pPr>
    <w:rPr>
      <w:sz w:val="20"/>
    </w:rPr>
  </w:style>
  <w:style w:type="character" w:styleId="PlaceholderText">
    <w:name w:val="Placeholder Text"/>
    <w:basedOn w:val="DefaultParagraphFont"/>
    <w:uiPriority w:val="99"/>
    <w:semiHidden/>
    <w:rsid w:val="00E148B6"/>
    <w:rPr>
      <w:color w:val="808080"/>
    </w:rPr>
  </w:style>
  <w:style w:type="paragraph" w:styleId="CommentSubject">
    <w:name w:val="annotation subject"/>
    <w:basedOn w:val="CommentText"/>
    <w:next w:val="CommentText"/>
    <w:link w:val="CommentSubjectChar"/>
    <w:uiPriority w:val="99"/>
    <w:semiHidden/>
    <w:unhideWhenUsed/>
    <w:rsid w:val="00643198"/>
    <w:rPr>
      <w:b/>
      <w:bCs/>
    </w:rPr>
  </w:style>
  <w:style w:type="character" w:customStyle="1" w:styleId="CommentSubjectChar">
    <w:name w:val="Comment Subject Char"/>
    <w:basedOn w:val="CommentTextChar"/>
    <w:link w:val="CommentSubject"/>
    <w:uiPriority w:val="99"/>
    <w:semiHidden/>
    <w:rsid w:val="00643198"/>
    <w:rPr>
      <w:rFonts w:eastAsiaTheme="minorEastAsia"/>
      <w:b/>
      <w:bCs/>
      <w:sz w:val="20"/>
      <w:szCs w:val="20"/>
    </w:rPr>
  </w:style>
  <w:style w:type="character" w:customStyle="1" w:styleId="st">
    <w:name w:val="st"/>
    <w:basedOn w:val="DefaultParagraphFont"/>
    <w:rsid w:val="00F908DC"/>
  </w:style>
  <w:style w:type="character" w:styleId="Emphasis">
    <w:name w:val="Emphasis"/>
    <w:basedOn w:val="DefaultParagraphFont"/>
    <w:uiPriority w:val="20"/>
    <w:qFormat/>
    <w:rsid w:val="00F908DC"/>
    <w:rPr>
      <w:i/>
      <w:iCs/>
    </w:rPr>
  </w:style>
  <w:style w:type="character" w:customStyle="1" w:styleId="apple-converted-space">
    <w:name w:val="apple-converted-space"/>
    <w:basedOn w:val="DefaultParagraphFont"/>
    <w:rsid w:val="00FE2814"/>
  </w:style>
  <w:style w:type="table" w:styleId="TableGrid">
    <w:name w:val="Table Grid"/>
    <w:basedOn w:val="TableNormal"/>
    <w:uiPriority w:val="39"/>
    <w:rsid w:val="008053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4117E2"/>
  </w:style>
  <w:style w:type="character" w:customStyle="1" w:styleId="e24kjd">
    <w:name w:val="e24kjd"/>
    <w:basedOn w:val="DefaultParagraphFont"/>
    <w:rsid w:val="00C73F50"/>
  </w:style>
  <w:style w:type="character" w:customStyle="1" w:styleId="UnresolvedMention1">
    <w:name w:val="Unresolved Mention1"/>
    <w:basedOn w:val="DefaultParagraphFont"/>
    <w:uiPriority w:val="99"/>
    <w:semiHidden/>
    <w:unhideWhenUsed/>
    <w:rsid w:val="00F700BE"/>
    <w:rPr>
      <w:color w:val="605E5C"/>
      <w:shd w:val="clear" w:color="auto" w:fill="E1DFDD"/>
    </w:rPr>
  </w:style>
  <w:style w:type="paragraph" w:styleId="Revision">
    <w:name w:val="Revision"/>
    <w:hidden/>
    <w:uiPriority w:val="99"/>
    <w:semiHidden/>
    <w:rsid w:val="00FC2D1A"/>
    <w:pPr>
      <w:spacing w:line="240" w:lineRule="auto"/>
    </w:pPr>
  </w:style>
  <w:style w:type="character" w:customStyle="1" w:styleId="UnresolvedMention2">
    <w:name w:val="Unresolved Mention2"/>
    <w:basedOn w:val="DefaultParagraphFont"/>
    <w:uiPriority w:val="99"/>
    <w:semiHidden/>
    <w:unhideWhenUsed/>
    <w:rsid w:val="00D36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4299">
      <w:bodyDiv w:val="1"/>
      <w:marLeft w:val="0"/>
      <w:marRight w:val="0"/>
      <w:marTop w:val="0"/>
      <w:marBottom w:val="0"/>
      <w:divBdr>
        <w:top w:val="none" w:sz="0" w:space="0" w:color="auto"/>
        <w:left w:val="none" w:sz="0" w:space="0" w:color="auto"/>
        <w:bottom w:val="none" w:sz="0" w:space="0" w:color="auto"/>
        <w:right w:val="none" w:sz="0" w:space="0" w:color="auto"/>
      </w:divBdr>
    </w:div>
    <w:div w:id="962153518">
      <w:bodyDiv w:val="1"/>
      <w:marLeft w:val="0"/>
      <w:marRight w:val="0"/>
      <w:marTop w:val="0"/>
      <w:marBottom w:val="0"/>
      <w:divBdr>
        <w:top w:val="none" w:sz="0" w:space="0" w:color="auto"/>
        <w:left w:val="none" w:sz="0" w:space="0" w:color="auto"/>
        <w:bottom w:val="none" w:sz="0" w:space="0" w:color="auto"/>
        <w:right w:val="none" w:sz="0" w:space="0" w:color="auto"/>
      </w:divBdr>
    </w:div>
    <w:div w:id="966664661">
      <w:bodyDiv w:val="1"/>
      <w:marLeft w:val="0"/>
      <w:marRight w:val="0"/>
      <w:marTop w:val="0"/>
      <w:marBottom w:val="0"/>
      <w:divBdr>
        <w:top w:val="none" w:sz="0" w:space="0" w:color="auto"/>
        <w:left w:val="none" w:sz="0" w:space="0" w:color="auto"/>
        <w:bottom w:val="none" w:sz="0" w:space="0" w:color="auto"/>
        <w:right w:val="none" w:sz="0" w:space="0" w:color="auto"/>
      </w:divBdr>
      <w:divsChild>
        <w:div w:id="795753471">
          <w:marLeft w:val="0"/>
          <w:marRight w:val="0"/>
          <w:marTop w:val="0"/>
          <w:marBottom w:val="0"/>
          <w:divBdr>
            <w:top w:val="none" w:sz="0" w:space="0" w:color="auto"/>
            <w:left w:val="none" w:sz="0" w:space="0" w:color="auto"/>
            <w:bottom w:val="none" w:sz="0" w:space="0" w:color="auto"/>
            <w:right w:val="none" w:sz="0" w:space="0" w:color="auto"/>
          </w:divBdr>
          <w:divsChild>
            <w:div w:id="2873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8838">
      <w:bodyDiv w:val="1"/>
      <w:marLeft w:val="0"/>
      <w:marRight w:val="0"/>
      <w:marTop w:val="0"/>
      <w:marBottom w:val="0"/>
      <w:divBdr>
        <w:top w:val="none" w:sz="0" w:space="0" w:color="auto"/>
        <w:left w:val="none" w:sz="0" w:space="0" w:color="auto"/>
        <w:bottom w:val="none" w:sz="0" w:space="0" w:color="auto"/>
        <w:right w:val="none" w:sz="0" w:space="0" w:color="auto"/>
      </w:divBdr>
    </w:div>
    <w:div w:id="1038629002">
      <w:bodyDiv w:val="1"/>
      <w:marLeft w:val="0"/>
      <w:marRight w:val="0"/>
      <w:marTop w:val="0"/>
      <w:marBottom w:val="0"/>
      <w:divBdr>
        <w:top w:val="none" w:sz="0" w:space="0" w:color="auto"/>
        <w:left w:val="none" w:sz="0" w:space="0" w:color="auto"/>
        <w:bottom w:val="none" w:sz="0" w:space="0" w:color="auto"/>
        <w:right w:val="none" w:sz="0" w:space="0" w:color="auto"/>
      </w:divBdr>
    </w:div>
    <w:div w:id="1051343492">
      <w:bodyDiv w:val="1"/>
      <w:marLeft w:val="0"/>
      <w:marRight w:val="0"/>
      <w:marTop w:val="0"/>
      <w:marBottom w:val="0"/>
      <w:divBdr>
        <w:top w:val="none" w:sz="0" w:space="0" w:color="auto"/>
        <w:left w:val="none" w:sz="0" w:space="0" w:color="auto"/>
        <w:bottom w:val="none" w:sz="0" w:space="0" w:color="auto"/>
        <w:right w:val="none" w:sz="0" w:space="0" w:color="auto"/>
      </w:divBdr>
      <w:divsChild>
        <w:div w:id="1379746549">
          <w:marLeft w:val="0"/>
          <w:marRight w:val="0"/>
          <w:marTop w:val="0"/>
          <w:marBottom w:val="0"/>
          <w:divBdr>
            <w:top w:val="none" w:sz="0" w:space="0" w:color="auto"/>
            <w:left w:val="none" w:sz="0" w:space="0" w:color="auto"/>
            <w:bottom w:val="none" w:sz="0" w:space="0" w:color="auto"/>
            <w:right w:val="none" w:sz="0" w:space="0" w:color="auto"/>
          </w:divBdr>
        </w:div>
        <w:div w:id="1884323060">
          <w:marLeft w:val="0"/>
          <w:marRight w:val="0"/>
          <w:marTop w:val="0"/>
          <w:marBottom w:val="0"/>
          <w:divBdr>
            <w:top w:val="none" w:sz="0" w:space="0" w:color="auto"/>
            <w:left w:val="none" w:sz="0" w:space="0" w:color="auto"/>
            <w:bottom w:val="none" w:sz="0" w:space="0" w:color="auto"/>
            <w:right w:val="none" w:sz="0" w:space="0" w:color="auto"/>
          </w:divBdr>
        </w:div>
      </w:divsChild>
    </w:div>
    <w:div w:id="16026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23833-2A22-4387-9765-98DB3AA7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6208</Words>
  <Characters>35389</Characters>
  <Application>Microsoft Office Word</Application>
  <DocSecurity>4</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Esposito Office1</dc:creator>
  <cp:keywords/>
  <dc:description/>
  <cp:lastModifiedBy>Vinyard, Megan L</cp:lastModifiedBy>
  <cp:revision>2</cp:revision>
  <cp:lastPrinted>2018-01-05T22:11:00Z</cp:lastPrinted>
  <dcterms:created xsi:type="dcterms:W3CDTF">2020-12-08T21:37:00Z</dcterms:created>
  <dcterms:modified xsi:type="dcterms:W3CDTF">2020-12-08T21:37:00Z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http://www.zotero.org/styles/advanced-materials</vt:lpwstr>
  </property>
  <property fmtid="{D5CDD505-2E9C-101B-9397-08002B2CF9AE}" pid="4" name="Mendeley Recent Style Name 0_1">
    <vt:lpwstr>Advanced Materials</vt:lpwstr>
  </property>
  <property fmtid="{D5CDD505-2E9C-101B-9397-08002B2CF9AE}" pid="5" name="Mendeley Recent Style Id 1_1">
    <vt:lpwstr>http://www.zotero.org/styles/american-medical-association</vt:lpwstr>
  </property>
  <property fmtid="{D5CDD505-2E9C-101B-9397-08002B2CF9AE}" pid="6" name="Mendeley Recent Style Name 1_1">
    <vt:lpwstr>American Medical Association</vt:lpwstr>
  </property>
  <property fmtid="{D5CDD505-2E9C-101B-9397-08002B2CF9AE}" pid="7" name="Mendeley Recent Style Id 2_1">
    <vt:lpwstr>http://www.zotero.org/styles/american-political-science-association</vt:lpwstr>
  </property>
  <property fmtid="{D5CDD505-2E9C-101B-9397-08002B2CF9AE}" pid="8" name="Mendeley Recent Style Name 2_1">
    <vt:lpwstr>American Political Science Association</vt:lpwstr>
  </property>
  <property fmtid="{D5CDD505-2E9C-101B-9397-08002B2CF9AE}" pid="9" name="Mendeley Recent Style Id 3_1">
    <vt:lpwstr>http://www.zotero.org/styles/apa</vt:lpwstr>
  </property>
  <property fmtid="{D5CDD505-2E9C-101B-9397-08002B2CF9AE}" pid="10" name="Mendeley Recent Style Name 3_1">
    <vt:lpwstr>American Psychological Association 6th edition</vt:lpwstr>
  </property>
  <property fmtid="{D5CDD505-2E9C-101B-9397-08002B2CF9AE}" pid="11" name="Mendeley Recent Style Id 4_1">
    <vt:lpwstr>http://www.zotero.org/styles/american-sociological-association</vt:lpwstr>
  </property>
  <property fmtid="{D5CDD505-2E9C-101B-9397-08002B2CF9AE}" pid="12" name="Mendeley Recent Style Name 4_1">
    <vt:lpwstr>American Sociological Association</vt:lpwstr>
  </property>
  <property fmtid="{D5CDD505-2E9C-101B-9397-08002B2CF9AE}" pid="13" name="Mendeley Recent Style Id 5_1">
    <vt:lpwstr>http://www.zotero.org/styles/chicago-author-date</vt:lpwstr>
  </property>
  <property fmtid="{D5CDD505-2E9C-101B-9397-08002B2CF9AE}" pid="14" name="Mendeley Recent Style Name 5_1">
    <vt:lpwstr>Chicago Manual of Style 17th edition (author-date)</vt:lpwstr>
  </property>
  <property fmtid="{D5CDD505-2E9C-101B-9397-08002B2CF9AE}" pid="15" name="Mendeley Recent Style Id 6_1">
    <vt:lpwstr>http://www.zotero.org/styles/harvard-cite-them-right</vt:lpwstr>
  </property>
  <property fmtid="{D5CDD505-2E9C-101B-9397-08002B2CF9AE}" pid="16" name="Mendeley Recent Style Name 6_1">
    <vt:lpwstr>Cite Them Right 10th edition - Harvard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2f41e339-9948-3aeb-88dd-dece0f6742fd</vt:lpwstr>
  </property>
  <property fmtid="{D5CDD505-2E9C-101B-9397-08002B2CF9AE}" pid="24" name="Mendeley Citation Style_1">
    <vt:lpwstr>http://www.zotero.org/styles/advanced-materials</vt:lpwstr>
  </property>
</Properties>
</file>