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F82A" w14:textId="27ED5ADE" w:rsidR="00D44F90" w:rsidRPr="00D634C3" w:rsidRDefault="00D44F90" w:rsidP="00D44F90">
      <w:pPr>
        <w:pStyle w:val="TAMainText"/>
        <w:rPr>
          <w:b/>
          <w:szCs w:val="24"/>
        </w:rPr>
      </w:pPr>
      <w:r w:rsidRPr="00D634C3">
        <w:rPr>
          <w:b/>
          <w:szCs w:val="24"/>
        </w:rPr>
        <w:t>SmgGDS-607 regulation of RhoA GTPase prenylation is nucleotide dependent</w:t>
      </w:r>
    </w:p>
    <w:p w14:paraId="0ACF435E" w14:textId="744AC6E1" w:rsidR="00A005E2" w:rsidRDefault="00D44F90" w:rsidP="00A005E2">
      <w:pPr>
        <w:pStyle w:val="BBAuthorName"/>
        <w:spacing w:after="0" w:line="240" w:lineRule="auto"/>
        <w:rPr>
          <w:i w:val="0"/>
        </w:rPr>
      </w:pPr>
      <w:r w:rsidRPr="009A783E">
        <w:t>Benjamin C. Jennings</w:t>
      </w:r>
      <w:r>
        <w:t xml:space="preserve">, Alexis J. Lawton, Zeinab Rizk, </w:t>
      </w:r>
      <w:r w:rsidRPr="009A783E">
        <w:t>and Carol A. Fierke</w:t>
      </w:r>
      <w:r>
        <w:t>*</w:t>
      </w:r>
    </w:p>
    <w:p w14:paraId="2F459702" w14:textId="77777777" w:rsidR="00A005E2" w:rsidRDefault="00A005E2" w:rsidP="00A005E2">
      <w:pPr>
        <w:pStyle w:val="BCAuthorAddress"/>
        <w:spacing w:after="0" w:line="240" w:lineRule="auto"/>
        <w:jc w:val="left"/>
      </w:pPr>
    </w:p>
    <w:p w14:paraId="7684EDAD" w14:textId="2C3EB094" w:rsidR="00A005E2" w:rsidRPr="00301817" w:rsidRDefault="00E760A0" w:rsidP="00A005E2">
      <w:pPr>
        <w:pStyle w:val="BCAuthorAddress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Supporting Information</w:t>
      </w:r>
      <w:r w:rsidR="00A005E2" w:rsidRPr="00301817">
        <w:rPr>
          <w:b/>
          <w:i/>
          <w:sz w:val="28"/>
          <w:szCs w:val="28"/>
        </w:rPr>
        <w:t xml:space="preserve">. </w:t>
      </w:r>
    </w:p>
    <w:p w14:paraId="79D2BE50" w14:textId="77777777" w:rsidR="00A005E2" w:rsidRPr="00A005E2" w:rsidRDefault="00A005E2" w:rsidP="00A005E2"/>
    <w:p w14:paraId="649EF69D" w14:textId="4E8BDE49" w:rsidR="00A005E2" w:rsidRDefault="00A005E2" w:rsidP="00A005E2">
      <w:r>
        <w:tab/>
        <w:t xml:space="preserve">Plasmid names, tag order, UniProt ID, backbone plasmid, and selective resistance for expression plasmids used in this study.  Final protein sequences </w:t>
      </w:r>
      <w:r w:rsidR="002123A2">
        <w:t>from DNA sequencing.</w:t>
      </w:r>
    </w:p>
    <w:p w14:paraId="4634907A" w14:textId="77777777" w:rsidR="00A005E2" w:rsidRPr="00A005E2" w:rsidRDefault="00A005E2" w:rsidP="00A005E2"/>
    <w:p w14:paraId="7748256A" w14:textId="77777777" w:rsidR="00A005E2" w:rsidRDefault="00254749" w:rsidP="00D44F90">
      <w:r>
        <w:t xml:space="preserve">pBJ115  </w:t>
      </w:r>
      <w:r w:rsidR="00D44F90" w:rsidRPr="00254749">
        <w:rPr>
          <w:color w:val="0000FF"/>
        </w:rPr>
        <w:t>His</w:t>
      </w:r>
      <w:r w:rsidR="00D44F90" w:rsidRPr="00254749">
        <w:rPr>
          <w:color w:val="0000FF"/>
          <w:vertAlign w:val="subscript"/>
        </w:rPr>
        <w:t>6</w:t>
      </w:r>
      <w:r w:rsidR="00D44F90">
        <w:t>-</w:t>
      </w:r>
      <w:r w:rsidR="00D44F90" w:rsidRPr="00254749">
        <w:rPr>
          <w:color w:val="008000"/>
        </w:rPr>
        <w:t>thrombin</w:t>
      </w:r>
      <w:r w:rsidR="00D44F90">
        <w:t>-</w:t>
      </w:r>
      <w:r w:rsidRPr="00254749">
        <w:rPr>
          <w:color w:val="800000"/>
        </w:rPr>
        <w:t>linker</w:t>
      </w:r>
      <w:r>
        <w:t xml:space="preserve">-human </w:t>
      </w:r>
      <w:r w:rsidR="00D44F90">
        <w:t>SmgGDS-558 (</w:t>
      </w:r>
      <w:r w:rsidRPr="00254749">
        <w:t>P52306-2</w:t>
      </w:r>
      <w:r w:rsidR="00D44F90">
        <w:t>)</w:t>
      </w:r>
      <w:r w:rsidR="00A005E2">
        <w:t xml:space="preserve">, </w:t>
      </w:r>
    </w:p>
    <w:p w14:paraId="755A34EB" w14:textId="24DBE9A4" w:rsidR="00254749" w:rsidRDefault="00A005E2" w:rsidP="00D44F90">
      <w:r>
        <w:tab/>
      </w:r>
      <w:r w:rsidR="00254749">
        <w:t>pET28a</w:t>
      </w:r>
      <w:r>
        <w:t xml:space="preserve"> backbone plasmid</w:t>
      </w:r>
      <w:r w:rsidR="00254749">
        <w:t>, kan</w:t>
      </w:r>
      <w:r>
        <w:t>amycin</w:t>
      </w:r>
      <w:r w:rsidR="00254749">
        <w:t xml:space="preserve"> resistance </w:t>
      </w:r>
    </w:p>
    <w:p w14:paraId="05CC21F9" w14:textId="0378A2B2" w:rsidR="00D44F90" w:rsidRDefault="00D44F90" w:rsidP="00D44F90">
      <w:pPr>
        <w:rPr>
          <w:rFonts w:ascii="Courier" w:hAnsi="Courier"/>
        </w:rPr>
      </w:pPr>
    </w:p>
    <w:p w14:paraId="033FF639" w14:textId="24EDB721" w:rsidR="00D44F90" w:rsidRDefault="00D44F90" w:rsidP="00D44F90">
      <w:pPr>
        <w:rPr>
          <w:rFonts w:ascii="Courier" w:hAnsi="Courier"/>
        </w:rPr>
      </w:pPr>
      <w:r w:rsidRPr="009E2ACD">
        <w:rPr>
          <w:rFonts w:ascii="Courier" w:hAnsi="Courier"/>
        </w:rPr>
        <w:t>MGSS</w:t>
      </w:r>
      <w:r w:rsidRPr="009E2ACD">
        <w:rPr>
          <w:rFonts w:ascii="Courier" w:hAnsi="Courier"/>
          <w:color w:val="0000FF"/>
        </w:rPr>
        <w:t>HHHHHH</w:t>
      </w:r>
      <w:r w:rsidRPr="009E2ACD">
        <w:rPr>
          <w:rFonts w:ascii="Courier" w:hAnsi="Courier"/>
        </w:rPr>
        <w:t>SSG</w:t>
      </w:r>
      <w:r w:rsidRPr="009E2ACD">
        <w:rPr>
          <w:rFonts w:ascii="Courier" w:hAnsi="Courier"/>
          <w:color w:val="008000"/>
        </w:rPr>
        <w:t>LVPRGS</w:t>
      </w:r>
      <w:r w:rsidRPr="009E2ACD">
        <w:rPr>
          <w:rFonts w:ascii="Courier" w:hAnsi="Courier"/>
          <w:color w:val="800000"/>
        </w:rPr>
        <w:t>HMASMTGGQQMGRGSEFELRRQAST</w:t>
      </w:r>
      <w:r w:rsidRPr="009E2ACD">
        <w:rPr>
          <w:rFonts w:ascii="Courier" w:hAnsi="Courier"/>
        </w:rPr>
        <w:t>MD</w:t>
      </w:r>
      <w:r w:rsidRPr="00A33C9A">
        <w:rPr>
          <w:rFonts w:ascii="Courier" w:hAnsi="Courier"/>
        </w:rPr>
        <w:t>NLSDTLKKLKITAVDKTEDSLEGCLDC</w:t>
      </w:r>
      <w:r w:rsidR="00A005E2">
        <w:rPr>
          <w:rFonts w:ascii="Courier" w:hAnsi="Courier"/>
        </w:rPr>
        <w:t>LLQALAQNNTETSEKIQASGILQLFASLLTP</w:t>
      </w:r>
      <w:r w:rsidRPr="00A33C9A">
        <w:rPr>
          <w:rFonts w:ascii="Courier" w:hAnsi="Courier"/>
        </w:rPr>
        <w:t>QSSCKAKVANIIAEVAKNEFMRIPCVDAG</w:t>
      </w:r>
      <w:r w:rsidR="00A005E2">
        <w:rPr>
          <w:rFonts w:ascii="Courier" w:hAnsi="Courier"/>
        </w:rPr>
        <w:t>LISPLVQLLNSKDQEVLLQTGRALGNICYDS</w:t>
      </w:r>
      <w:r w:rsidRPr="00A33C9A">
        <w:rPr>
          <w:rFonts w:ascii="Courier" w:hAnsi="Courier"/>
        </w:rPr>
        <w:t>HSLQAQLINMGVIPTLVKLLGIHCQNAALTEMCLVA</w:t>
      </w:r>
      <w:r w:rsidR="00A005E2">
        <w:rPr>
          <w:rFonts w:ascii="Courier" w:hAnsi="Courier"/>
        </w:rPr>
        <w:t>FGNLAELESSKEQFASTNIAEELV</w:t>
      </w:r>
      <w:r w:rsidRPr="00A33C9A">
        <w:rPr>
          <w:rFonts w:ascii="Courier" w:hAnsi="Courier"/>
        </w:rPr>
        <w:t>KLFKKQIEHDKREMIFEVLAPLAENDAIK</w:t>
      </w:r>
      <w:r w:rsidR="00A005E2">
        <w:rPr>
          <w:rFonts w:ascii="Courier" w:hAnsi="Courier"/>
        </w:rPr>
        <w:t>LQLVEAGLVECLLEIVQQKVDSDKEDDITEL</w:t>
      </w:r>
      <w:r w:rsidRPr="00A33C9A">
        <w:rPr>
          <w:rFonts w:ascii="Courier" w:hAnsi="Courier"/>
        </w:rPr>
        <w:t>KTGSDLMVLLLLGDESMQKLFEGGKGSVF</w:t>
      </w:r>
      <w:r w:rsidR="00A005E2">
        <w:rPr>
          <w:rFonts w:ascii="Courier" w:hAnsi="Courier"/>
        </w:rPr>
        <w:t>QRVLSWIPSNNHQLQLAGALAIANFARNDAN</w:t>
      </w:r>
      <w:r w:rsidRPr="00A33C9A">
        <w:rPr>
          <w:rFonts w:ascii="Courier" w:hAnsi="Courier"/>
        </w:rPr>
        <w:t>CIHMVDNGIVEKLMDLLDRHVEDGNVTVQ</w:t>
      </w:r>
      <w:r w:rsidR="00A005E2">
        <w:rPr>
          <w:rFonts w:ascii="Courier" w:hAnsi="Courier"/>
        </w:rPr>
        <w:t>HAALSALRNLAIPVINKAKMLSAGVTEAVLK</w:t>
      </w:r>
      <w:r w:rsidRPr="00A33C9A">
        <w:rPr>
          <w:rFonts w:ascii="Courier" w:hAnsi="Courier"/>
        </w:rPr>
        <w:t>FLKSEMPPVQFKLLGTLRMLIDAQAEAAEQLGKNVKLVERLVEWCEAK</w:t>
      </w:r>
      <w:r w:rsidR="00A005E2">
        <w:rPr>
          <w:rFonts w:ascii="Courier" w:hAnsi="Courier"/>
        </w:rPr>
        <w:t>DHAGVMGESNRL</w:t>
      </w:r>
      <w:r w:rsidRPr="00A33C9A">
        <w:rPr>
          <w:rFonts w:ascii="Courier" w:hAnsi="Courier"/>
        </w:rPr>
        <w:t>LSALIRHSKSKDVIKTIVQSGGIKHLVTM</w:t>
      </w:r>
      <w:r w:rsidR="00A005E2">
        <w:rPr>
          <w:rFonts w:ascii="Courier" w:hAnsi="Courier"/>
        </w:rPr>
        <w:t>ATSEHVIMQNEALVALALIAALELGTAEKDL</w:t>
      </w:r>
      <w:r w:rsidRPr="00A33C9A">
        <w:rPr>
          <w:rFonts w:ascii="Courier" w:hAnsi="Courier"/>
        </w:rPr>
        <w:t>ESAKLVQILHRLLADERSAPEIKYNSMVL</w:t>
      </w:r>
      <w:r w:rsidR="00A005E2">
        <w:rPr>
          <w:rFonts w:ascii="Courier" w:hAnsi="Courier"/>
        </w:rPr>
        <w:t>ICALMGSECLHKEVQDLAFLDVVSKLRSHEN</w:t>
      </w:r>
      <w:r w:rsidRPr="00A33C9A">
        <w:rPr>
          <w:rFonts w:ascii="Courier" w:hAnsi="Courier"/>
        </w:rPr>
        <w:t>KSVAQQASLTEQRLTVES</w:t>
      </w:r>
    </w:p>
    <w:p w14:paraId="47D594FD" w14:textId="77777777" w:rsidR="00D44F90" w:rsidRDefault="00D44F90"/>
    <w:p w14:paraId="24ADD8A3" w14:textId="77777777" w:rsidR="00254749" w:rsidRDefault="00254749"/>
    <w:p w14:paraId="7B863DCC" w14:textId="2BCE5718" w:rsidR="00254749" w:rsidRDefault="00254749" w:rsidP="00254749">
      <w:r>
        <w:t xml:space="preserve">pBJ116  </w:t>
      </w:r>
      <w:r w:rsidRPr="00254749">
        <w:rPr>
          <w:color w:val="0000FF"/>
        </w:rPr>
        <w:t>His</w:t>
      </w:r>
      <w:r w:rsidRPr="00254749">
        <w:rPr>
          <w:color w:val="0000FF"/>
          <w:vertAlign w:val="subscript"/>
        </w:rPr>
        <w:t>6</w:t>
      </w:r>
      <w:r>
        <w:t>-</w:t>
      </w:r>
      <w:r w:rsidRPr="00254749">
        <w:rPr>
          <w:color w:val="008000"/>
        </w:rPr>
        <w:t>thrombin</w:t>
      </w:r>
      <w:r>
        <w:t>-</w:t>
      </w:r>
      <w:r w:rsidRPr="00254749">
        <w:rPr>
          <w:color w:val="800000"/>
        </w:rPr>
        <w:t>linker</w:t>
      </w:r>
      <w:r>
        <w:t>-human SmgGDS-607 (P52306-1)</w:t>
      </w:r>
      <w:r w:rsidR="009E2ACD">
        <w:t>,</w:t>
      </w:r>
    </w:p>
    <w:p w14:paraId="5B4475F4" w14:textId="5865B079" w:rsidR="00A005E2" w:rsidRDefault="00A005E2" w:rsidP="00A005E2">
      <w:r>
        <w:tab/>
        <w:t>pET28a backbone plasmid, kanamycin resistance</w:t>
      </w:r>
    </w:p>
    <w:p w14:paraId="0B2A67D9" w14:textId="77777777" w:rsidR="00254749" w:rsidRDefault="00254749" w:rsidP="00254749">
      <w:pPr>
        <w:rPr>
          <w:rFonts w:ascii="Courier" w:hAnsi="Courier"/>
        </w:rPr>
      </w:pPr>
    </w:p>
    <w:p w14:paraId="221AB05E" w14:textId="1A969AEF" w:rsidR="00D44F90" w:rsidRDefault="00254749" w:rsidP="00D44F90">
      <w:pPr>
        <w:rPr>
          <w:rFonts w:ascii="Courier" w:hAnsi="Courier"/>
        </w:rPr>
      </w:pPr>
      <w:r w:rsidRPr="00A33C9A">
        <w:rPr>
          <w:rFonts w:ascii="Courier" w:hAnsi="Courier"/>
        </w:rPr>
        <w:t>M</w:t>
      </w:r>
      <w:r w:rsidRPr="009E2ACD">
        <w:rPr>
          <w:rFonts w:ascii="Courier" w:hAnsi="Courier"/>
        </w:rPr>
        <w:t>GSS</w:t>
      </w:r>
      <w:r w:rsidRPr="009E2ACD">
        <w:rPr>
          <w:rFonts w:ascii="Courier" w:hAnsi="Courier"/>
          <w:color w:val="0000FF"/>
        </w:rPr>
        <w:t>HHHHHH</w:t>
      </w:r>
      <w:r w:rsidRPr="009E2ACD">
        <w:rPr>
          <w:rFonts w:ascii="Courier" w:hAnsi="Courier"/>
        </w:rPr>
        <w:t>SSG</w:t>
      </w:r>
      <w:r w:rsidRPr="009E2ACD">
        <w:rPr>
          <w:rFonts w:ascii="Courier" w:hAnsi="Courier"/>
          <w:color w:val="008000"/>
        </w:rPr>
        <w:t>LVPRGS</w:t>
      </w:r>
      <w:r w:rsidRPr="009E2ACD">
        <w:rPr>
          <w:rFonts w:ascii="Courier" w:hAnsi="Courier"/>
          <w:color w:val="800000"/>
        </w:rPr>
        <w:t>HMASMTGGQQMGRGSEFELRRQAST</w:t>
      </w:r>
      <w:r w:rsidR="00D44F90" w:rsidRPr="009E2ACD">
        <w:rPr>
          <w:rFonts w:ascii="Courier" w:hAnsi="Courier"/>
        </w:rPr>
        <w:t>MD</w:t>
      </w:r>
      <w:r w:rsidR="00D44F90" w:rsidRPr="002F5B05">
        <w:rPr>
          <w:rFonts w:ascii="Courier" w:hAnsi="Courier"/>
        </w:rPr>
        <w:t>NLSDTLKKLKITAVDKTEDSLEGCLDCLLQALAQNNTETSEKIQASGILQLFASLLTPQSSCKAKVANIIAEVAKNEFMRIPCVDAGLISPLVQLLNSKDQEVLLQTGRALGNICYDSHEGRSAVDQAGGAQIVIDHLRSLCSITDPANEKLLTVFCGMLMNYSNENDSLQAQLINMGVIPTLVKLLGIHCQNAALTEMCLVAFGNLAELESSKEQFASTNIAEELVKLFKKQIEHDKREMIFEVLAPLAENDAIKLQLVEAGLVECLLEIVQQKVDSDKEDDITELKTGSDLMVLLLLGDESMQKLFEGGKGSVFQRVLSWIPSNNHQLQLAGALAIANFARNDANCIHMVDNGIVEKLMDLLDRHVEDGNVTVQHAALSALRNLAIPVINKAKMLSAGVTEAVLKFLKSEMPPVQFKLLGTLRMLIDAQAEAAEQLGKNVKLVERLVEWCEAKDHAGVMGESNRLLSALIRHSKSKDVIKTIVQSGGIKHLVTMATSEHVIMQNEALVALALIAALELGTAEKDLESAKLVQILHRLLADERSAPEIKYNSMVLICALMGSECLHKEVQDLAFLDVVSKLRSHENKSVAQQASLTEQRLTVES</w:t>
      </w:r>
    </w:p>
    <w:p w14:paraId="036F37B4" w14:textId="77777777" w:rsidR="00254749" w:rsidRDefault="00254749" w:rsidP="00D44F90">
      <w:pPr>
        <w:rPr>
          <w:rFonts w:ascii="Courier" w:hAnsi="Courier"/>
        </w:rPr>
      </w:pPr>
    </w:p>
    <w:p w14:paraId="1EC28823" w14:textId="77777777" w:rsidR="00A005E2" w:rsidRDefault="00A005E2" w:rsidP="00D44F90">
      <w:pPr>
        <w:rPr>
          <w:rFonts w:ascii="Courier" w:hAnsi="Courier"/>
        </w:rPr>
      </w:pPr>
    </w:p>
    <w:p w14:paraId="1E89072D" w14:textId="25EFF2CF" w:rsidR="00254749" w:rsidRDefault="00254749" w:rsidP="00254749">
      <w:r>
        <w:t xml:space="preserve">pBJ138  </w:t>
      </w:r>
      <w:r w:rsidRPr="00254749">
        <w:rPr>
          <w:color w:val="0000FF"/>
        </w:rPr>
        <w:t>His</w:t>
      </w:r>
      <w:r w:rsidRPr="00254749">
        <w:rPr>
          <w:color w:val="0000FF"/>
          <w:vertAlign w:val="subscript"/>
        </w:rPr>
        <w:t>6</w:t>
      </w:r>
      <w:r>
        <w:t>-</w:t>
      </w:r>
      <w:r w:rsidRPr="00254749">
        <w:rPr>
          <w:color w:val="008000"/>
        </w:rPr>
        <w:t>t</w:t>
      </w:r>
      <w:r>
        <w:rPr>
          <w:color w:val="008000"/>
        </w:rPr>
        <w:t>ev</w:t>
      </w:r>
      <w:r>
        <w:t>-human RhoA (P61586-1)</w:t>
      </w:r>
      <w:r w:rsidR="009E2ACD">
        <w:t>,</w:t>
      </w:r>
    </w:p>
    <w:p w14:paraId="09E511A8" w14:textId="59AC6053" w:rsidR="00254749" w:rsidRDefault="00A005E2" w:rsidP="00254749">
      <w:r>
        <w:tab/>
      </w:r>
      <w:r w:rsidR="00254749">
        <w:t>pETM11 backbone</w:t>
      </w:r>
      <w:r>
        <w:t xml:space="preserve"> plasmid</w:t>
      </w:r>
      <w:r w:rsidR="00254749">
        <w:t xml:space="preserve">, </w:t>
      </w:r>
      <w:r>
        <w:t>kanamycin resistance</w:t>
      </w:r>
    </w:p>
    <w:p w14:paraId="460637F8" w14:textId="77777777" w:rsidR="00A5280C" w:rsidRDefault="00A5280C"/>
    <w:p w14:paraId="58C01920" w14:textId="27EE53CC" w:rsidR="005B4CDE" w:rsidRPr="005B4CDE" w:rsidRDefault="005B4CDE" w:rsidP="005B4CDE">
      <w:pPr>
        <w:rPr>
          <w:rFonts w:ascii="Courier" w:hAnsi="Courier"/>
        </w:rPr>
      </w:pPr>
      <w:r w:rsidRPr="005B4CDE">
        <w:rPr>
          <w:rFonts w:ascii="Courier" w:hAnsi="Courier"/>
        </w:rPr>
        <w:t>MK</w:t>
      </w:r>
      <w:r w:rsidRPr="00254749">
        <w:rPr>
          <w:rFonts w:ascii="Courier" w:hAnsi="Courier"/>
          <w:color w:val="0000FF"/>
        </w:rPr>
        <w:t>HHHHHH</w:t>
      </w:r>
      <w:r w:rsidRPr="005B4CDE">
        <w:rPr>
          <w:rFonts w:ascii="Courier" w:hAnsi="Courier"/>
        </w:rPr>
        <w:t>PMSDYDIPTT</w:t>
      </w:r>
      <w:r w:rsidRPr="00254749">
        <w:rPr>
          <w:rFonts w:ascii="Courier" w:hAnsi="Courier"/>
          <w:color w:val="008000"/>
        </w:rPr>
        <w:t>ENLYFQ</w:t>
      </w:r>
      <w:r w:rsidR="00863506">
        <w:rPr>
          <w:rFonts w:ascii="Courier" w:hAnsi="Courier"/>
          <w:color w:val="008000"/>
        </w:rPr>
        <w:t>/</w:t>
      </w:r>
      <w:r w:rsidRPr="00254749">
        <w:rPr>
          <w:rFonts w:ascii="Courier" w:hAnsi="Courier"/>
          <w:color w:val="008000"/>
        </w:rPr>
        <w:t>G</w:t>
      </w:r>
      <w:r w:rsidRPr="00A005E2">
        <w:rPr>
          <w:rFonts w:ascii="Courier" w:hAnsi="Courier"/>
          <w:color w:val="008000"/>
        </w:rPr>
        <w:t>A</w:t>
      </w:r>
      <w:r w:rsidRPr="005B4CDE">
        <w:rPr>
          <w:rFonts w:ascii="Courier" w:hAnsi="Courier"/>
        </w:rPr>
        <w:t>MAAIRKKLVIVGDGACGKTCLLIVFSKDQFPEVYVPTVFENYVADIEVDGKQVELALWDTAGQEDYDRLRPLSYPDTDVILMCFSIDSPDSLENIPEKWTPEVKHFCPNVPIILVGNKKDLRNDEHTRRELAKMKQEPVKPEEGRDMANRIGAFGYMECSAKTKDGVREVFEMATRAALQARRGKKKSGCLVL</w:t>
      </w:r>
    </w:p>
    <w:p w14:paraId="6E759207" w14:textId="77777777" w:rsidR="005B4CDE" w:rsidRDefault="005B4CDE"/>
    <w:p w14:paraId="396C67F6" w14:textId="77777777" w:rsidR="00057539" w:rsidRDefault="00057539"/>
    <w:p w14:paraId="0EDD2236" w14:textId="77777777" w:rsidR="00057539" w:rsidRDefault="00057539"/>
    <w:p w14:paraId="0D4BA25E" w14:textId="59E1F5C1" w:rsidR="00057539" w:rsidRDefault="00057539" w:rsidP="00057539">
      <w:r w:rsidRPr="00783298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56983C" wp14:editId="701681AA">
            <wp:simplePos x="0" y="0"/>
            <wp:positionH relativeFrom="column">
              <wp:posOffset>-25400</wp:posOffset>
            </wp:positionH>
            <wp:positionV relativeFrom="paragraph">
              <wp:posOffset>-32385</wp:posOffset>
            </wp:positionV>
            <wp:extent cx="5937885" cy="1952625"/>
            <wp:effectExtent l="0" t="0" r="5715" b="3175"/>
            <wp:wrapThrough wrapText="bothSides">
              <wp:wrapPolygon edited="0">
                <wp:start x="0" y="0"/>
                <wp:lineTo x="0" y="21354"/>
                <wp:lineTo x="21528" y="21354"/>
                <wp:lineTo x="215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98">
        <w:rPr>
          <w:b/>
        </w:rPr>
        <w:t>Figure S1</w:t>
      </w:r>
      <w:r>
        <w:t xml:space="preserve">. </w:t>
      </w:r>
      <w:r w:rsidR="00090243">
        <w:t>Replot of data from Figure 2D fit to either a (</w:t>
      </w:r>
      <w:r w:rsidR="00090243">
        <w:rPr>
          <w:i/>
        </w:rPr>
        <w:t>A</w:t>
      </w:r>
      <w:r w:rsidR="00090243">
        <w:t>) substrate sequestration or (</w:t>
      </w:r>
      <w:r w:rsidR="00090243" w:rsidRPr="00090243">
        <w:rPr>
          <w:i/>
        </w:rPr>
        <w:t>B</w:t>
      </w:r>
      <w:r w:rsidR="00090243">
        <w:t xml:space="preserve">) competitive inhibition </w:t>
      </w:r>
      <w:r w:rsidR="00090243" w:rsidRPr="00090243">
        <w:t xml:space="preserve">model.  </w:t>
      </w:r>
      <w:r w:rsidR="00090243">
        <w:t>The indicated concentrations of</w:t>
      </w:r>
      <w:r w:rsidR="00090243" w:rsidRPr="00090243">
        <w:t xml:space="preserve"> SmgGDS-607</w:t>
      </w:r>
      <w:r w:rsidR="00090243">
        <w:t xml:space="preserve"> (µM)</w:t>
      </w:r>
      <w:r w:rsidR="00090243" w:rsidRPr="00090243">
        <w:t xml:space="preserve"> were pre-incubated with </w:t>
      </w:r>
      <w:r w:rsidR="00090243">
        <w:t xml:space="preserve">varying </w:t>
      </w:r>
      <w:r w:rsidR="00090243" w:rsidRPr="00090243">
        <w:t xml:space="preserve">RhoA and then labeled for 4 min by addition of GGTase-I (10 nM) and 2 μM </w:t>
      </w:r>
      <w:r w:rsidR="00090243" w:rsidRPr="00090243">
        <w:rPr>
          <w:vertAlign w:val="superscript"/>
        </w:rPr>
        <w:t>3</w:t>
      </w:r>
      <w:r w:rsidR="00090243" w:rsidRPr="00090243">
        <w:t xml:space="preserve">H-GGPP. </w:t>
      </w:r>
      <w:r w:rsidR="00255EA5">
        <w:t xml:space="preserve"> (</w:t>
      </w:r>
      <w:r w:rsidR="00255EA5" w:rsidRPr="00255EA5">
        <w:rPr>
          <w:i/>
        </w:rPr>
        <w:t>A</w:t>
      </w:r>
      <w:r w:rsidR="00255EA5">
        <w:t xml:space="preserve">) </w:t>
      </w:r>
      <w:r w:rsidR="00090243" w:rsidRPr="00090243">
        <w:t xml:space="preserve">Equations 1 and 2 describing Scheme 1 were fit to the data resulting in the following values:  </w:t>
      </w:r>
      <w:r w:rsidR="00090243" w:rsidRPr="00090243">
        <w:rPr>
          <w:i/>
        </w:rPr>
        <w:t>k</w:t>
      </w:r>
      <w:r w:rsidR="00090243" w:rsidRPr="00090243">
        <w:rPr>
          <w:vertAlign w:val="subscript"/>
        </w:rPr>
        <w:t>cat</w:t>
      </w:r>
      <w:r w:rsidR="00090243" w:rsidRPr="00090243">
        <w:t xml:space="preserve"> = 0.05 s</w:t>
      </w:r>
      <w:r w:rsidR="00090243" w:rsidRPr="00090243">
        <w:rPr>
          <w:vertAlign w:val="superscript"/>
        </w:rPr>
        <w:t>-1</w:t>
      </w:r>
      <w:r w:rsidR="00090243" w:rsidRPr="00090243">
        <w:t xml:space="preserve">, </w:t>
      </w:r>
      <w:r w:rsidR="00090243" w:rsidRPr="00090243">
        <w:rPr>
          <w:i/>
        </w:rPr>
        <w:t>K</w:t>
      </w:r>
      <w:r w:rsidR="00090243" w:rsidRPr="00090243">
        <w:rPr>
          <w:vertAlign w:val="subscript"/>
        </w:rPr>
        <w:t>M</w:t>
      </w:r>
      <w:r w:rsidR="00090243" w:rsidRPr="00090243">
        <w:t xml:space="preserve"> = 1.8 μM, and </w:t>
      </w:r>
      <w:r w:rsidR="00090243" w:rsidRPr="00090243">
        <w:rPr>
          <w:i/>
        </w:rPr>
        <w:t>K</w:t>
      </w:r>
      <w:r w:rsidR="00090243" w:rsidRPr="00090243">
        <w:rPr>
          <w:vertAlign w:val="subscript"/>
        </w:rPr>
        <w:t>i</w:t>
      </w:r>
      <w:r w:rsidR="00090243" w:rsidRPr="00090243">
        <w:t xml:space="preserve"> = 85 nM.</w:t>
      </w:r>
      <w:r w:rsidR="00565954">
        <w:t xml:space="preserve">  (</w:t>
      </w:r>
      <w:r w:rsidR="00565954" w:rsidRPr="00565954">
        <w:rPr>
          <w:i/>
        </w:rPr>
        <w:t>B</w:t>
      </w:r>
      <w:r w:rsidR="00565954">
        <w:t xml:space="preserve">) </w:t>
      </w:r>
      <w:r w:rsidR="00D2566F">
        <w:t>For comparison, t</w:t>
      </w:r>
      <w:r w:rsidR="00565954">
        <w:t xml:space="preserve">he same data </w:t>
      </w:r>
      <w:r w:rsidR="00D2566F">
        <w:t xml:space="preserve">were </w:t>
      </w:r>
      <w:r w:rsidR="00565954">
        <w:t xml:space="preserve">fit to </w:t>
      </w:r>
      <w:r w:rsidR="003019A5">
        <w:t xml:space="preserve">a competitive enzyme inhibition model described by </w:t>
      </w:r>
      <w:r w:rsidR="00D2566F">
        <w:t>equations S1 and S2.</w:t>
      </w:r>
      <w:r w:rsidR="00565954">
        <w:t xml:space="preserve"> </w:t>
      </w:r>
    </w:p>
    <w:p w14:paraId="54761CED" w14:textId="1211F85F" w:rsidR="00057539" w:rsidRDefault="00057539"/>
    <w:p w14:paraId="76292F6D" w14:textId="38EAF3DD" w:rsidR="003019A5" w:rsidRDefault="003019A5" w:rsidP="00D2566F">
      <w:pPr>
        <w:jc w:val="center"/>
        <w:rPr>
          <w:bCs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cat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[E]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total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[S</m:t>
            </m:r>
            <m:r>
              <w:rPr>
                <w:rFonts w:ascii="Cambria Math" w:hAnsi="Cambria Math"/>
              </w:rPr>
              <m:t>]</m:t>
            </m:r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  <m:sup>
                <m:r>
                  <w:rPr>
                    <w:rFonts w:ascii="Cambria Math" w:hAnsi="Cambria Math"/>
                  </w:rPr>
                  <m:t>App</m:t>
                </m:r>
              </m:sup>
            </m:sSubSup>
            <m:r>
              <w:rPr>
                <w:rFonts w:ascii="Cambria Math" w:hAnsi="Cambria Math"/>
              </w:rPr>
              <m:t>+[</m:t>
            </m:r>
            <m:r>
              <m:rPr>
                <m:sty m:val="p"/>
              </m:rPr>
              <w:rPr>
                <w:rFonts w:ascii="Cambria Math" w:hAnsi="Cambria Math"/>
              </w:rPr>
              <m:t>S]</m:t>
            </m:r>
          </m:den>
        </m:f>
      </m:oMath>
      <w:r>
        <w:rPr>
          <w:bCs/>
        </w:rPr>
        <w:t xml:space="preserve">  (Eq. S1)</w:t>
      </w:r>
    </w:p>
    <w:p w14:paraId="289A3EAD" w14:textId="77777777" w:rsidR="00D2566F" w:rsidRPr="003019A5" w:rsidRDefault="00D2566F" w:rsidP="00D2566F">
      <w:pPr>
        <w:jc w:val="center"/>
        <w:rPr>
          <w:bCs/>
        </w:rPr>
      </w:pPr>
    </w:p>
    <w:p w14:paraId="1870E5F3" w14:textId="330B5780" w:rsidR="003019A5" w:rsidRDefault="00783298" w:rsidP="00D2566F">
      <w:pPr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App</m:t>
            </m:r>
          </m:sup>
        </m:sSubSup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[</m:t>
                </m:r>
                <m:r>
                  <w:rPr>
                    <w:rFonts w:ascii="Cambria Math" w:hAnsi="Cambria Math"/>
                  </w:rPr>
                  <m:t>SmgGDS</m:t>
                </m:r>
                <m:r>
                  <w:rPr>
                    <w:rFonts w:ascii="Cambria Math" w:hAnsi="Cambria Math"/>
                  </w:rPr>
                  <m:t>]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</m:oMath>
      <w:r w:rsidR="00D2566F">
        <w:t xml:space="preserve">  (Eq. S2)</w:t>
      </w:r>
    </w:p>
    <w:p w14:paraId="5240897C" w14:textId="77777777" w:rsidR="00057539" w:rsidRDefault="00057539" w:rsidP="00D2566F">
      <w:pPr>
        <w:jc w:val="center"/>
      </w:pPr>
    </w:p>
    <w:p w14:paraId="6848AEE6" w14:textId="79FE0F57" w:rsidR="00F84EEC" w:rsidRDefault="00F84EEC"/>
    <w:p w14:paraId="1463CDDA" w14:textId="2F9FABF8" w:rsidR="007424BB" w:rsidRDefault="007424BB"/>
    <w:p w14:paraId="4D7986DE" w14:textId="48EC6282" w:rsidR="00102220" w:rsidRDefault="00102220">
      <w:r>
        <w:rPr>
          <w:noProof/>
        </w:rPr>
        <w:drawing>
          <wp:inline distT="0" distB="0" distL="0" distR="0" wp14:anchorId="5B67D982" wp14:editId="325D860D">
            <wp:extent cx="54610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3793" w14:textId="4E453606" w:rsidR="007424BB" w:rsidRDefault="007424BB" w:rsidP="007424BB">
      <w:r w:rsidRPr="00783298">
        <w:rPr>
          <w:b/>
        </w:rPr>
        <w:t>Figure S</w:t>
      </w:r>
      <w:r w:rsidR="00057539" w:rsidRPr="00783298">
        <w:rPr>
          <w:b/>
        </w:rPr>
        <w:t>2</w:t>
      </w:r>
      <w:r>
        <w:t xml:space="preserve">. Observed rate constants for SmgGDS-607 binding in Figure 4A and B. </w:t>
      </w:r>
    </w:p>
    <w:p w14:paraId="53DCD905" w14:textId="77777777" w:rsidR="007424BB" w:rsidRDefault="007424BB"/>
    <w:p w14:paraId="3FBB50F4" w14:textId="77777777" w:rsidR="007424BB" w:rsidRDefault="007424BB">
      <w:bookmarkStart w:id="0" w:name="_GoBack"/>
      <w:bookmarkEnd w:id="0"/>
    </w:p>
    <w:p w14:paraId="101D759D" w14:textId="77777777" w:rsidR="007424BB" w:rsidRDefault="007424BB"/>
    <w:p w14:paraId="64F8D181" w14:textId="246C24CB" w:rsidR="006826D5" w:rsidRDefault="00D76662">
      <w:r w:rsidRPr="00783298">
        <w:rPr>
          <w:b/>
        </w:rPr>
        <w:t>Table S1</w:t>
      </w:r>
      <w:r>
        <w:t xml:space="preserve">. </w:t>
      </w:r>
      <w:r w:rsidR="007424BB">
        <w:t xml:space="preserve"> Calculated r</w:t>
      </w:r>
      <w:r w:rsidR="005545F6">
        <w:t>ates and affinities from Figures 4 and S</w:t>
      </w:r>
      <w:r w:rsidR="00783298">
        <w:t>2</w:t>
      </w:r>
      <w:r w:rsidR="005545F6">
        <w:t xml:space="preserve"> for SmgGDS-607 binding RhoA.</w:t>
      </w:r>
      <w:r w:rsidR="007424BB">
        <w:t xml:space="preserve"> </w:t>
      </w:r>
    </w:p>
    <w:tbl>
      <w:tblPr>
        <w:tblStyle w:val="TableGrid"/>
        <w:tblpPr w:leftFromText="180" w:rightFromText="180" w:vertAnchor="text" w:horzAnchor="page" w:tblpX="1949" w:tblpY="167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957"/>
        <w:gridCol w:w="2070"/>
        <w:gridCol w:w="1548"/>
        <w:gridCol w:w="1980"/>
      </w:tblGrid>
      <w:tr w:rsidR="00102220" w14:paraId="7B08398B" w14:textId="77777777" w:rsidTr="009B63A0">
        <w:trPr>
          <w:trHeight w:val="258"/>
        </w:trPr>
        <w:tc>
          <w:tcPr>
            <w:tcW w:w="923" w:type="dxa"/>
            <w:vAlign w:val="bottom"/>
          </w:tcPr>
          <w:p w14:paraId="0947408F" w14:textId="77777777" w:rsidR="00102220" w:rsidRPr="00D76662" w:rsidRDefault="00102220" w:rsidP="00102220"/>
        </w:tc>
        <w:tc>
          <w:tcPr>
            <w:tcW w:w="1957" w:type="dxa"/>
            <w:vAlign w:val="bottom"/>
          </w:tcPr>
          <w:p w14:paraId="0D845CEF" w14:textId="77777777" w:rsidR="00102220" w:rsidRPr="00D76662" w:rsidRDefault="00102220" w:rsidP="00102220">
            <w:pPr>
              <w:jc w:val="center"/>
              <w:rPr>
                <w:u w:val="single"/>
              </w:rPr>
            </w:pPr>
            <w:r w:rsidRPr="00D76662">
              <w:rPr>
                <w:rFonts w:eastAsia="Times New Roman"/>
                <w:i/>
                <w:color w:val="000000"/>
                <w:u w:val="single"/>
              </w:rPr>
              <w:t>k</w:t>
            </w:r>
            <w:r w:rsidRPr="00D76662">
              <w:rPr>
                <w:rFonts w:eastAsia="Times New Roman"/>
                <w:color w:val="000000"/>
                <w:u w:val="single"/>
                <w:vertAlign w:val="subscript"/>
              </w:rPr>
              <w:t>off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(s</w:t>
            </w:r>
            <w:r w:rsidRPr="00D76662">
              <w:rPr>
                <w:rFonts w:eastAsia="Times New Roman"/>
                <w:color w:val="000000"/>
                <w:u w:val="single"/>
                <w:vertAlign w:val="superscript"/>
              </w:rPr>
              <w:t>-1</w:t>
            </w:r>
            <w:r w:rsidRPr="00D76662">
              <w:rPr>
                <w:rFonts w:eastAsia="Times New Roman"/>
                <w:color w:val="000000"/>
                <w:u w:val="single"/>
              </w:rPr>
              <w:t>)</w:t>
            </w:r>
          </w:p>
        </w:tc>
        <w:tc>
          <w:tcPr>
            <w:tcW w:w="2070" w:type="dxa"/>
            <w:vAlign w:val="bottom"/>
          </w:tcPr>
          <w:p w14:paraId="29EDEC08" w14:textId="77777777" w:rsidR="00102220" w:rsidRPr="00D76662" w:rsidRDefault="00102220" w:rsidP="00102220">
            <w:pPr>
              <w:jc w:val="center"/>
              <w:rPr>
                <w:u w:val="single"/>
              </w:rPr>
            </w:pPr>
            <w:r w:rsidRPr="00D76662">
              <w:rPr>
                <w:rFonts w:eastAsia="Times New Roman"/>
                <w:i/>
                <w:color w:val="000000"/>
                <w:u w:val="single"/>
              </w:rPr>
              <w:t>k</w:t>
            </w:r>
            <w:r w:rsidRPr="00D76662">
              <w:rPr>
                <w:rFonts w:eastAsia="Times New Roman"/>
                <w:color w:val="000000"/>
                <w:u w:val="single"/>
                <w:vertAlign w:val="subscript"/>
              </w:rPr>
              <w:t>on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(s</w:t>
            </w:r>
            <w:r w:rsidRPr="00D76662">
              <w:rPr>
                <w:rFonts w:eastAsia="Times New Roman"/>
                <w:color w:val="000000"/>
                <w:u w:val="single"/>
                <w:vertAlign w:val="superscript"/>
              </w:rPr>
              <w:t>-1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M</w:t>
            </w:r>
            <w:r w:rsidRPr="00D76662">
              <w:rPr>
                <w:rFonts w:eastAsia="Times New Roman"/>
                <w:color w:val="000000"/>
                <w:u w:val="single"/>
                <w:vertAlign w:val="superscript"/>
              </w:rPr>
              <w:t>-1</w:t>
            </w:r>
            <w:r w:rsidRPr="00D76662">
              <w:rPr>
                <w:rFonts w:eastAsia="Times New Roman"/>
                <w:color w:val="000000"/>
                <w:u w:val="single"/>
              </w:rPr>
              <w:t>)</w:t>
            </w:r>
          </w:p>
        </w:tc>
        <w:tc>
          <w:tcPr>
            <w:tcW w:w="1548" w:type="dxa"/>
            <w:vAlign w:val="bottom"/>
          </w:tcPr>
          <w:p w14:paraId="2784B305" w14:textId="77777777" w:rsidR="00102220" w:rsidRPr="00D76662" w:rsidRDefault="00102220" w:rsidP="00102220">
            <w:pPr>
              <w:jc w:val="center"/>
              <w:rPr>
                <w:rFonts w:eastAsia="Times New Roman"/>
                <w:i/>
                <w:color w:val="000000"/>
                <w:u w:val="single"/>
              </w:rPr>
            </w:pPr>
            <w:r w:rsidRPr="00D76662">
              <w:rPr>
                <w:rFonts w:eastAsia="Times New Roman"/>
                <w:i/>
                <w:color w:val="000000"/>
                <w:u w:val="single"/>
              </w:rPr>
              <w:t>K</w:t>
            </w:r>
            <w:r w:rsidRPr="00D76662">
              <w:rPr>
                <w:rFonts w:eastAsia="Times New Roman"/>
                <w:color w:val="000000"/>
                <w:u w:val="single"/>
                <w:vertAlign w:val="subscript"/>
              </w:rPr>
              <w:t>d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calc  (nM)</w:t>
            </w:r>
          </w:p>
        </w:tc>
        <w:tc>
          <w:tcPr>
            <w:tcW w:w="1980" w:type="dxa"/>
            <w:vAlign w:val="bottom"/>
          </w:tcPr>
          <w:p w14:paraId="28D47E91" w14:textId="618477C2" w:rsidR="00102220" w:rsidRPr="00D76662" w:rsidRDefault="00102220" w:rsidP="009B63A0">
            <w:pPr>
              <w:jc w:val="center"/>
              <w:rPr>
                <w:rFonts w:eastAsia="Times New Roman"/>
                <w:i/>
                <w:color w:val="000000"/>
                <w:u w:val="single"/>
              </w:rPr>
            </w:pPr>
            <w:r w:rsidRPr="00D76662">
              <w:rPr>
                <w:rFonts w:eastAsia="Times New Roman"/>
                <w:i/>
                <w:color w:val="000000"/>
                <w:u w:val="single"/>
              </w:rPr>
              <w:t>K</w:t>
            </w:r>
            <w:r w:rsidRPr="00D76662">
              <w:rPr>
                <w:rFonts w:eastAsia="Times New Roman"/>
                <w:color w:val="000000"/>
                <w:u w:val="single"/>
                <w:vertAlign w:val="subscript"/>
              </w:rPr>
              <w:t>d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</w:t>
            </w:r>
            <w:r w:rsidR="009B63A0">
              <w:rPr>
                <w:rFonts w:eastAsia="Times New Roman"/>
                <w:color w:val="000000"/>
                <w:u w:val="single"/>
              </w:rPr>
              <w:t>endpoint</w:t>
            </w:r>
            <w:r w:rsidRPr="00D76662">
              <w:rPr>
                <w:rFonts w:eastAsia="Times New Roman"/>
                <w:color w:val="000000"/>
                <w:u w:val="single"/>
              </w:rPr>
              <w:t xml:space="preserve">  (nM)</w:t>
            </w:r>
          </w:p>
        </w:tc>
      </w:tr>
      <w:tr w:rsidR="00102220" w14:paraId="315A89EA" w14:textId="77777777" w:rsidTr="009B63A0">
        <w:trPr>
          <w:trHeight w:val="247"/>
        </w:trPr>
        <w:tc>
          <w:tcPr>
            <w:tcW w:w="923" w:type="dxa"/>
            <w:vAlign w:val="bottom"/>
          </w:tcPr>
          <w:p w14:paraId="05948488" w14:textId="77777777" w:rsidR="00102220" w:rsidRPr="00D76662" w:rsidRDefault="00102220" w:rsidP="00102220">
            <w:pPr>
              <w:jc w:val="right"/>
            </w:pPr>
            <w:r w:rsidRPr="00D76662">
              <w:rPr>
                <w:rFonts w:eastAsia="Times New Roman"/>
                <w:color w:val="000000"/>
              </w:rPr>
              <w:t>GDP</w:t>
            </w:r>
          </w:p>
        </w:tc>
        <w:tc>
          <w:tcPr>
            <w:tcW w:w="1957" w:type="dxa"/>
            <w:vAlign w:val="bottom"/>
          </w:tcPr>
          <w:p w14:paraId="2DAD12C6" w14:textId="77777777" w:rsidR="00102220" w:rsidRPr="00D76662" w:rsidRDefault="00102220" w:rsidP="00102220">
            <w:pPr>
              <w:jc w:val="center"/>
            </w:pPr>
            <w:r w:rsidRPr="00D76662">
              <w:rPr>
                <w:rFonts w:eastAsia="Times New Roman"/>
                <w:color w:val="000000"/>
              </w:rPr>
              <w:t>0.026</w:t>
            </w:r>
            <w:r>
              <w:rPr>
                <w:rFonts w:eastAsia="Times New Roman"/>
                <w:color w:val="000000"/>
              </w:rPr>
              <w:t xml:space="preserve"> ± 0.005</w:t>
            </w:r>
          </w:p>
        </w:tc>
        <w:tc>
          <w:tcPr>
            <w:tcW w:w="2070" w:type="dxa"/>
            <w:vAlign w:val="bottom"/>
          </w:tcPr>
          <w:p w14:paraId="63B606B3" w14:textId="77777777" w:rsidR="00102220" w:rsidRPr="00D76662" w:rsidRDefault="00102220" w:rsidP="00102220">
            <w:pPr>
              <w:jc w:val="center"/>
            </w:pPr>
            <w:r>
              <w:rPr>
                <w:rFonts w:eastAsia="Times New Roman"/>
                <w:color w:val="000000"/>
              </w:rPr>
              <w:t>390,000 ± 60,000</w:t>
            </w:r>
          </w:p>
        </w:tc>
        <w:tc>
          <w:tcPr>
            <w:tcW w:w="1548" w:type="dxa"/>
            <w:vAlign w:val="bottom"/>
          </w:tcPr>
          <w:p w14:paraId="592BF9E3" w14:textId="77777777" w:rsidR="00102220" w:rsidRPr="00D76662" w:rsidRDefault="00102220" w:rsidP="00102220">
            <w:pPr>
              <w:jc w:val="center"/>
              <w:rPr>
                <w:rFonts w:eastAsia="Times New Roman"/>
                <w:color w:val="000000"/>
              </w:rPr>
            </w:pPr>
            <w:r w:rsidRPr="00D76662">
              <w:rPr>
                <w:rFonts w:eastAsia="Times New Roman"/>
                <w:color w:val="000000"/>
              </w:rPr>
              <w:t>67</w:t>
            </w:r>
            <w:r>
              <w:rPr>
                <w:rFonts w:eastAsia="Times New Roman"/>
                <w:color w:val="000000"/>
              </w:rPr>
              <w:t xml:space="preserve"> ± 23</w:t>
            </w:r>
          </w:p>
        </w:tc>
        <w:tc>
          <w:tcPr>
            <w:tcW w:w="1980" w:type="dxa"/>
            <w:vAlign w:val="bottom"/>
          </w:tcPr>
          <w:p w14:paraId="071E52C8" w14:textId="4470A7AF" w:rsidR="00102220" w:rsidRPr="00D76662" w:rsidRDefault="009B63A0" w:rsidP="0010222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 ± 7</w:t>
            </w:r>
          </w:p>
        </w:tc>
      </w:tr>
      <w:tr w:rsidR="00102220" w14:paraId="6600AA8B" w14:textId="77777777" w:rsidTr="009B63A0">
        <w:trPr>
          <w:trHeight w:val="271"/>
        </w:trPr>
        <w:tc>
          <w:tcPr>
            <w:tcW w:w="923" w:type="dxa"/>
            <w:vAlign w:val="bottom"/>
          </w:tcPr>
          <w:p w14:paraId="7969A5E1" w14:textId="77777777" w:rsidR="00102220" w:rsidRPr="00D76662" w:rsidRDefault="00102220" w:rsidP="00102220">
            <w:pPr>
              <w:jc w:val="right"/>
            </w:pPr>
            <w:r w:rsidRPr="00D76662">
              <w:rPr>
                <w:rFonts w:eastAsia="Times New Roman"/>
                <w:color w:val="000000"/>
              </w:rPr>
              <w:t>GppNp</w:t>
            </w:r>
          </w:p>
        </w:tc>
        <w:tc>
          <w:tcPr>
            <w:tcW w:w="1957" w:type="dxa"/>
            <w:vAlign w:val="bottom"/>
          </w:tcPr>
          <w:p w14:paraId="650D9AB4" w14:textId="77777777" w:rsidR="00102220" w:rsidRPr="00D76662" w:rsidRDefault="00102220" w:rsidP="00102220">
            <w:pPr>
              <w:jc w:val="center"/>
            </w:pPr>
            <w:r w:rsidRPr="00D76662">
              <w:rPr>
                <w:rFonts w:eastAsia="Times New Roman"/>
                <w:color w:val="000000"/>
              </w:rPr>
              <w:t>0.060</w:t>
            </w:r>
            <w:r>
              <w:rPr>
                <w:rFonts w:eastAsia="Times New Roman"/>
                <w:color w:val="000000"/>
              </w:rPr>
              <w:t xml:space="preserve"> ± 0.005</w:t>
            </w:r>
          </w:p>
        </w:tc>
        <w:tc>
          <w:tcPr>
            <w:tcW w:w="2070" w:type="dxa"/>
            <w:vAlign w:val="bottom"/>
          </w:tcPr>
          <w:p w14:paraId="55F4CFDE" w14:textId="77777777" w:rsidR="00102220" w:rsidRPr="00D76662" w:rsidRDefault="00102220" w:rsidP="00102220">
            <w:pPr>
              <w:jc w:val="center"/>
            </w:pPr>
            <w:r>
              <w:rPr>
                <w:rFonts w:eastAsia="Times New Roman"/>
                <w:color w:val="000000"/>
              </w:rPr>
              <w:t>220,000 ± 20,000</w:t>
            </w:r>
          </w:p>
        </w:tc>
        <w:tc>
          <w:tcPr>
            <w:tcW w:w="1548" w:type="dxa"/>
            <w:vAlign w:val="bottom"/>
          </w:tcPr>
          <w:p w14:paraId="2BD767BE" w14:textId="77777777" w:rsidR="00102220" w:rsidRPr="00D76662" w:rsidRDefault="00102220" w:rsidP="00102220">
            <w:pPr>
              <w:jc w:val="center"/>
              <w:rPr>
                <w:rFonts w:eastAsia="Times New Roman"/>
                <w:color w:val="000000"/>
              </w:rPr>
            </w:pPr>
            <w:r w:rsidRPr="00D76662">
              <w:rPr>
                <w:rFonts w:eastAsia="Times New Roman"/>
                <w:color w:val="000000"/>
              </w:rPr>
              <w:t>271</w:t>
            </w:r>
            <w:r>
              <w:rPr>
                <w:rFonts w:eastAsia="Times New Roman"/>
                <w:color w:val="000000"/>
              </w:rPr>
              <w:t xml:space="preserve"> ± 39</w:t>
            </w:r>
          </w:p>
        </w:tc>
        <w:tc>
          <w:tcPr>
            <w:tcW w:w="1980" w:type="dxa"/>
            <w:vAlign w:val="bottom"/>
          </w:tcPr>
          <w:p w14:paraId="01B3B3AD" w14:textId="2EC89DD6" w:rsidR="00102220" w:rsidRPr="00D76662" w:rsidRDefault="009B63A0" w:rsidP="0010222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</w:t>
            </w:r>
            <w:r w:rsidR="00102220">
              <w:rPr>
                <w:rFonts w:eastAsia="Times New Roman"/>
                <w:color w:val="000000"/>
              </w:rPr>
              <w:t xml:space="preserve"> ± </w:t>
            </w:r>
            <w:r>
              <w:rPr>
                <w:rFonts w:eastAsia="Times New Roman"/>
                <w:color w:val="000000"/>
              </w:rPr>
              <w:t>13</w:t>
            </w:r>
          </w:p>
        </w:tc>
      </w:tr>
    </w:tbl>
    <w:p w14:paraId="2861D338" w14:textId="77777777" w:rsidR="00D76662" w:rsidRDefault="00D76662"/>
    <w:p w14:paraId="388A20A6" w14:textId="2A79535D" w:rsidR="006826D5" w:rsidRDefault="006826D5"/>
    <w:p w14:paraId="3D199F90" w14:textId="77777777" w:rsidR="006826D5" w:rsidRDefault="006826D5"/>
    <w:sectPr w:rsidR="006826D5" w:rsidSect="00A005E2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26BE" w14:textId="77777777" w:rsidR="003019A5" w:rsidRDefault="003019A5" w:rsidP="007424BB">
      <w:r>
        <w:separator/>
      </w:r>
    </w:p>
  </w:endnote>
  <w:endnote w:type="continuationSeparator" w:id="0">
    <w:p w14:paraId="4CF16028" w14:textId="77777777" w:rsidR="003019A5" w:rsidRDefault="003019A5" w:rsidP="007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BB3D" w14:textId="77777777" w:rsidR="003019A5" w:rsidRDefault="003019A5" w:rsidP="003D49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A5C52" w14:textId="77777777" w:rsidR="003019A5" w:rsidRDefault="003019A5" w:rsidP="003D49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37E7" w14:textId="0FC09553" w:rsidR="003019A5" w:rsidRDefault="003019A5" w:rsidP="00057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2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39CB85" w14:textId="51CD47E6" w:rsidR="003019A5" w:rsidRDefault="003019A5" w:rsidP="003D492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AFF6" w14:textId="77777777" w:rsidR="003019A5" w:rsidRDefault="003019A5" w:rsidP="007424BB">
      <w:r>
        <w:separator/>
      </w:r>
    </w:p>
  </w:footnote>
  <w:footnote w:type="continuationSeparator" w:id="0">
    <w:p w14:paraId="74F63FD4" w14:textId="77777777" w:rsidR="003019A5" w:rsidRDefault="003019A5" w:rsidP="0074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0"/>
    <w:rsid w:val="00040CD1"/>
    <w:rsid w:val="00057539"/>
    <w:rsid w:val="00076EB5"/>
    <w:rsid w:val="00090243"/>
    <w:rsid w:val="00102220"/>
    <w:rsid w:val="002123A2"/>
    <w:rsid w:val="00224243"/>
    <w:rsid w:val="00254749"/>
    <w:rsid w:val="00255EA5"/>
    <w:rsid w:val="00301817"/>
    <w:rsid w:val="003019A5"/>
    <w:rsid w:val="0038058D"/>
    <w:rsid w:val="003843B3"/>
    <w:rsid w:val="003D4920"/>
    <w:rsid w:val="003F19AD"/>
    <w:rsid w:val="00453923"/>
    <w:rsid w:val="004647D6"/>
    <w:rsid w:val="0046631A"/>
    <w:rsid w:val="0047097E"/>
    <w:rsid w:val="004B51B7"/>
    <w:rsid w:val="005545F6"/>
    <w:rsid w:val="00565954"/>
    <w:rsid w:val="005B4CDE"/>
    <w:rsid w:val="005B75E5"/>
    <w:rsid w:val="00656ACD"/>
    <w:rsid w:val="006826D5"/>
    <w:rsid w:val="00714508"/>
    <w:rsid w:val="007424BB"/>
    <w:rsid w:val="00783298"/>
    <w:rsid w:val="007D6252"/>
    <w:rsid w:val="008277A2"/>
    <w:rsid w:val="00863506"/>
    <w:rsid w:val="008D0698"/>
    <w:rsid w:val="009B63A0"/>
    <w:rsid w:val="009E2ACD"/>
    <w:rsid w:val="00A005E2"/>
    <w:rsid w:val="00A5280C"/>
    <w:rsid w:val="00BC48C1"/>
    <w:rsid w:val="00BE4F6B"/>
    <w:rsid w:val="00D2566F"/>
    <w:rsid w:val="00D44F90"/>
    <w:rsid w:val="00D76662"/>
    <w:rsid w:val="00E760A0"/>
    <w:rsid w:val="00F84E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1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D44F90"/>
    <w:pPr>
      <w:spacing w:line="480" w:lineRule="auto"/>
      <w:ind w:firstLine="202"/>
      <w:jc w:val="both"/>
    </w:pPr>
    <w:rPr>
      <w:rFonts w:ascii="Times" w:eastAsia="Times New Roman" w:hAnsi="Times"/>
      <w:szCs w:val="20"/>
    </w:rPr>
  </w:style>
  <w:style w:type="paragraph" w:customStyle="1" w:styleId="BBAuthorName">
    <w:name w:val="BB_Author_Name"/>
    <w:basedOn w:val="Normal"/>
    <w:next w:val="BCAuthorAddress"/>
    <w:rsid w:val="00D44F90"/>
    <w:pPr>
      <w:spacing w:after="240" w:line="480" w:lineRule="auto"/>
      <w:jc w:val="center"/>
    </w:pPr>
    <w:rPr>
      <w:rFonts w:ascii="Times" w:eastAsia="Times New Roman" w:hAnsi="Times"/>
      <w:i/>
      <w:szCs w:val="20"/>
    </w:rPr>
  </w:style>
  <w:style w:type="paragraph" w:customStyle="1" w:styleId="BCAuthorAddress">
    <w:name w:val="BC_Author_Address"/>
    <w:basedOn w:val="Normal"/>
    <w:next w:val="Normal"/>
    <w:rsid w:val="00D44F90"/>
    <w:pPr>
      <w:spacing w:after="240" w:line="480" w:lineRule="auto"/>
      <w:jc w:val="center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BB"/>
  </w:style>
  <w:style w:type="paragraph" w:styleId="Footer">
    <w:name w:val="footer"/>
    <w:basedOn w:val="Normal"/>
    <w:link w:val="FooterChar"/>
    <w:uiPriority w:val="99"/>
    <w:unhideWhenUsed/>
    <w:rsid w:val="0074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BB"/>
  </w:style>
  <w:style w:type="character" w:styleId="PageNumber">
    <w:name w:val="page number"/>
    <w:basedOn w:val="DefaultParagraphFont"/>
    <w:uiPriority w:val="99"/>
    <w:semiHidden/>
    <w:unhideWhenUsed/>
    <w:rsid w:val="003D4920"/>
  </w:style>
  <w:style w:type="character" w:styleId="PlaceholderText">
    <w:name w:val="Placeholder Text"/>
    <w:basedOn w:val="DefaultParagraphFont"/>
    <w:uiPriority w:val="99"/>
    <w:semiHidden/>
    <w:rsid w:val="003019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D44F90"/>
    <w:pPr>
      <w:spacing w:line="480" w:lineRule="auto"/>
      <w:ind w:firstLine="202"/>
      <w:jc w:val="both"/>
    </w:pPr>
    <w:rPr>
      <w:rFonts w:ascii="Times" w:eastAsia="Times New Roman" w:hAnsi="Times"/>
      <w:szCs w:val="20"/>
    </w:rPr>
  </w:style>
  <w:style w:type="paragraph" w:customStyle="1" w:styleId="BBAuthorName">
    <w:name w:val="BB_Author_Name"/>
    <w:basedOn w:val="Normal"/>
    <w:next w:val="BCAuthorAddress"/>
    <w:rsid w:val="00D44F90"/>
    <w:pPr>
      <w:spacing w:after="240" w:line="480" w:lineRule="auto"/>
      <w:jc w:val="center"/>
    </w:pPr>
    <w:rPr>
      <w:rFonts w:ascii="Times" w:eastAsia="Times New Roman" w:hAnsi="Times"/>
      <w:i/>
      <w:szCs w:val="20"/>
    </w:rPr>
  </w:style>
  <w:style w:type="paragraph" w:customStyle="1" w:styleId="BCAuthorAddress">
    <w:name w:val="BC_Author_Address"/>
    <w:basedOn w:val="Normal"/>
    <w:next w:val="Normal"/>
    <w:rsid w:val="00D44F90"/>
    <w:pPr>
      <w:spacing w:after="240" w:line="480" w:lineRule="auto"/>
      <w:jc w:val="center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BB"/>
  </w:style>
  <w:style w:type="paragraph" w:styleId="Footer">
    <w:name w:val="footer"/>
    <w:basedOn w:val="Normal"/>
    <w:link w:val="FooterChar"/>
    <w:uiPriority w:val="99"/>
    <w:unhideWhenUsed/>
    <w:rsid w:val="0074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BB"/>
  </w:style>
  <w:style w:type="character" w:styleId="PageNumber">
    <w:name w:val="page number"/>
    <w:basedOn w:val="DefaultParagraphFont"/>
    <w:uiPriority w:val="99"/>
    <w:semiHidden/>
    <w:unhideWhenUsed/>
    <w:rsid w:val="003D4920"/>
  </w:style>
  <w:style w:type="character" w:styleId="PlaceholderText">
    <w:name w:val="Placeholder Text"/>
    <w:basedOn w:val="DefaultParagraphFont"/>
    <w:uiPriority w:val="99"/>
    <w:semiHidden/>
    <w:rsid w:val="00301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Jennings</dc:creator>
  <cp:keywords/>
  <dc:description/>
  <cp:lastModifiedBy>Ben Jennings</cp:lastModifiedBy>
  <cp:revision>6</cp:revision>
  <dcterms:created xsi:type="dcterms:W3CDTF">2018-06-13T23:10:00Z</dcterms:created>
  <dcterms:modified xsi:type="dcterms:W3CDTF">2018-06-21T20:41:00Z</dcterms:modified>
</cp:coreProperties>
</file>